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7E4C" w14:textId="46C3B0C9" w:rsidR="007B46EF" w:rsidRPr="006A74E8" w:rsidRDefault="007B46EF" w:rsidP="007B46EF">
      <w:pPr>
        <w:spacing w:before="100" w:beforeAutospacing="1" w:after="100" w:afterAutospacing="1" w:line="240" w:lineRule="auto"/>
        <w:outlineLvl w:val="0"/>
        <w:rPr>
          <w:rFonts w:ascii="Verdana" w:eastAsia="Times New Roman" w:hAnsi="Verdana" w:cs="Times New Roman"/>
          <w:b/>
          <w:bCs/>
          <w:kern w:val="36"/>
          <w:lang w:eastAsia="nl-BE"/>
        </w:rPr>
      </w:pPr>
      <w:r w:rsidRPr="006A74E8">
        <w:rPr>
          <w:rFonts w:ascii="Verdana" w:eastAsia="Times New Roman" w:hAnsi="Verdana" w:cs="Times New Roman"/>
          <w:b/>
          <w:bCs/>
          <w:kern w:val="36"/>
          <w:lang w:eastAsia="nl-BE"/>
        </w:rPr>
        <w:t>Vlaamse Codex Wonen</w:t>
      </w:r>
    </w:p>
    <w:p w14:paraId="7F8D99D1" w14:textId="2167848B" w:rsidR="007B46EF" w:rsidRPr="007B46EF" w:rsidRDefault="007B46EF" w:rsidP="007B46EF">
      <w:pPr>
        <w:spacing w:before="100" w:beforeAutospacing="1" w:after="100" w:afterAutospacing="1" w:line="240" w:lineRule="auto"/>
        <w:outlineLvl w:val="0"/>
        <w:rPr>
          <w:rFonts w:ascii="Verdana" w:eastAsia="Times New Roman" w:hAnsi="Verdana" w:cs="Times New Roman"/>
          <w:b/>
          <w:bCs/>
          <w:kern w:val="36"/>
          <w:lang w:eastAsia="nl-BE"/>
        </w:rPr>
      </w:pPr>
      <w:r w:rsidRPr="007B46EF">
        <w:rPr>
          <w:rFonts w:ascii="Verdana" w:eastAsia="Times New Roman" w:hAnsi="Verdana" w:cs="Times New Roman"/>
          <w:b/>
          <w:bCs/>
          <w:kern w:val="36"/>
          <w:lang w:eastAsia="nl-BE"/>
        </w:rPr>
        <w:t xml:space="preserve">Boek 3. Woningkwaliteitsbewaking </w:t>
      </w:r>
    </w:p>
    <w:p w14:paraId="7652E5ED"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 xml:space="preserve">Deel 1. Veiligheids- gezondheids- en woningkwaliteitsnormen </w:t>
      </w:r>
    </w:p>
    <w:p w14:paraId="654BB0C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 (01/01/2021- ...) </w:t>
      </w:r>
    </w:p>
    <w:p w14:paraId="275E1852"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Elke woning moet op de volgende vlakken voldoen aan de elementaire veiligheids-, gezondheids- en woonkwaliteitsvereisten, die door de Vlaamse Regering nader bepaald worden:</w:t>
      </w:r>
      <w:r w:rsidRPr="007B46EF">
        <w:rPr>
          <w:rFonts w:ascii="Verdana" w:eastAsia="Times New Roman" w:hAnsi="Verdana" w:cs="Times New Roman"/>
          <w:lang w:eastAsia="nl-BE"/>
        </w:rPr>
        <w:br/>
        <w:t>1° de oppervlakte van de woongedeelten, rekening houdend met het type van woning en de functie van het woongedeelte;</w:t>
      </w:r>
      <w:r w:rsidRPr="007B46EF">
        <w:rPr>
          <w:rFonts w:ascii="Verdana" w:eastAsia="Times New Roman" w:hAnsi="Verdana" w:cs="Times New Roman"/>
          <w:lang w:eastAsia="nl-BE"/>
        </w:rPr>
        <w:br/>
        <w:t>2° de sanitaire voorzieningen, vooral de aanwezigheid van een goed functionerend toilet in of aansluitend bij de woning en een wasgelegenheid met stromend water, beide aangesloten op een afvoerkanaal zonder geurhinder;</w:t>
      </w:r>
      <w:r w:rsidRPr="007B46EF">
        <w:rPr>
          <w:rFonts w:ascii="Verdana" w:eastAsia="Times New Roman" w:hAnsi="Verdana" w:cs="Times New Roman"/>
          <w:lang w:eastAsia="nl-BE"/>
        </w:rPr>
        <w:br/>
        <w:t>3° de winddichtheid, de thermische isolatie en de verwarmingsmogelijkheden, vooral de aanwezigheid van voldoende veilige verwarmingsmiddelen om de woongedeelten met een woonfunctie tot een normale temperatuur te kunnen verwarmen en, indien nodig, te kunnen koelen tegen redelijke energiekosten of de mogelijkheid om die middelen op een veilige manier aan te sluiten;</w:t>
      </w:r>
      <w:r w:rsidRPr="007B46EF">
        <w:rPr>
          <w:rFonts w:ascii="Verdana" w:eastAsia="Times New Roman" w:hAnsi="Verdana" w:cs="Times New Roman"/>
          <w:lang w:eastAsia="nl-BE"/>
        </w:rPr>
        <w:br/>
        <w:t>4° de ventilatie-, verluchtings- en verlichtingsmogelijkheden, waarbij de verlichtingsmogelijkheid van de woongedeelten wordt vastgesteld in relatie tot de functie, de ligging en de vloeroppervlakte ervan, en de ventilatie- en verluchtingsmogelijkheid in relatie tot de functie en de ligging van het woongedeelte en tot de aanwezigheid van kook-, verwarmings- of warmwaterinstallaties die verbrandingsgassen produceren;</w:t>
      </w:r>
      <w:r w:rsidRPr="007B46EF">
        <w:rPr>
          <w:rFonts w:ascii="Verdana" w:eastAsia="Times New Roman" w:hAnsi="Verdana" w:cs="Times New Roman"/>
          <w:lang w:eastAsia="nl-BE"/>
        </w:rPr>
        <w:br/>
        <w:t>5° de aanwezigheid van voldoende en veilige elektrische installaties voor de verlichting van de woning en voor het veilige gebruik van elektrische apparaten;</w:t>
      </w:r>
      <w:r w:rsidRPr="007B46EF">
        <w:rPr>
          <w:rFonts w:ascii="Verdana" w:eastAsia="Times New Roman" w:hAnsi="Verdana" w:cs="Times New Roman"/>
          <w:lang w:eastAsia="nl-BE"/>
        </w:rPr>
        <w:br/>
        <w:t>6° de gasinstallaties, waarbij zowel de toestellen als de plaatsing en de aansluiting ervan de nodige veiligheidsgaranties bieden;</w:t>
      </w:r>
      <w:r w:rsidRPr="007B46EF">
        <w:rPr>
          <w:rFonts w:ascii="Verdana" w:eastAsia="Times New Roman" w:hAnsi="Verdana" w:cs="Times New Roman"/>
          <w:lang w:eastAsia="nl-BE"/>
        </w:rPr>
        <w:br/>
        <w:t>7° de stabiliteit en de bouwfysica met betrekking tot de fundering, de daken, de buiten-en binnenmuren, de draagvloeren en het timmerwerk;</w:t>
      </w:r>
      <w:r w:rsidRPr="007B46EF">
        <w:rPr>
          <w:rFonts w:ascii="Verdana" w:eastAsia="Times New Roman" w:hAnsi="Verdana" w:cs="Times New Roman"/>
          <w:lang w:eastAsia="nl-BE"/>
        </w:rPr>
        <w:br/>
        <w:t>8° de toegankelijkheid en het respect voor de persoonlijke levenssfeer;</w:t>
      </w:r>
      <w:r w:rsidRPr="007B46EF">
        <w:rPr>
          <w:rFonts w:ascii="Verdana" w:eastAsia="Times New Roman" w:hAnsi="Verdana" w:cs="Times New Roman"/>
          <w:lang w:eastAsia="nl-BE"/>
        </w:rPr>
        <w:br/>
        <w:t>9° de minimale energetische prestaties;</w:t>
      </w:r>
      <w:r w:rsidRPr="007B46EF">
        <w:rPr>
          <w:rFonts w:ascii="Verdana" w:eastAsia="Times New Roman" w:hAnsi="Verdana" w:cs="Times New Roman"/>
          <w:lang w:eastAsia="nl-BE"/>
        </w:rPr>
        <w:br/>
        <w:t>10° de aanwezigheid van drinkbaar water.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Elke woning moet voldoen aan de vereisten van brandveiligheid, met inbegrip van de specifieke en aanvullende veiligheidsnormen die de Vlaamse Regering vaststelt. Een woning moet uitgerust zijn met één of meer rookmelders geplaatst op de wijze bepaald door de Vlaamse Regering of moet beschikken over een branddetectiesysteem dat gekeurd en gecertificeerd is door een daartoe erkend organisme.</w:t>
      </w:r>
      <w:r w:rsidRPr="007B46EF">
        <w:rPr>
          <w:rFonts w:ascii="Verdana" w:eastAsia="Times New Roman" w:hAnsi="Verdana" w:cs="Times New Roman"/>
          <w:lang w:eastAsia="nl-BE"/>
        </w:rPr>
        <w:br/>
      </w:r>
      <w:r w:rsidRPr="007B46EF">
        <w:rPr>
          <w:rFonts w:ascii="Verdana" w:eastAsia="Times New Roman" w:hAnsi="Verdana" w:cs="Times New Roman"/>
          <w:lang w:eastAsia="nl-BE"/>
        </w:rPr>
        <w:br/>
        <w:t>Bij de nadere bepaling van de vereisten, vermeld in het eerste lid, en de vaststelling van de specifieke en aanvullende veiligheidsnormen, vermeld in het tweede lid, hanteert de Vlaamse Regering een of meer lijsten van mogelijke gebreken die onderverdeeld zijn in de volgende drie categorieën:</w:t>
      </w:r>
      <w:r w:rsidRPr="007B46EF">
        <w:rPr>
          <w:rFonts w:ascii="Verdana" w:eastAsia="Times New Roman" w:hAnsi="Verdana" w:cs="Times New Roman"/>
          <w:lang w:eastAsia="nl-BE"/>
        </w:rPr>
        <w:br/>
        <w:t>1° gebreken van categorie I: kleine gebreken die de levensomstandigheden van de bewoners negatief beïnvloeden of die potentieel kunnen uitgroeien tot ernstige gebreken;</w:t>
      </w:r>
      <w:r w:rsidRPr="007B46EF">
        <w:rPr>
          <w:rFonts w:ascii="Verdana" w:eastAsia="Times New Roman" w:hAnsi="Verdana" w:cs="Times New Roman"/>
          <w:lang w:eastAsia="nl-BE"/>
        </w:rPr>
        <w:br/>
        <w:t xml:space="preserve">2° gebreken van categorie II: ernstige gebreken die de levensomstandigheden </w:t>
      </w:r>
      <w:r w:rsidRPr="007B46EF">
        <w:rPr>
          <w:rFonts w:ascii="Verdana" w:eastAsia="Times New Roman" w:hAnsi="Verdana" w:cs="Times New Roman"/>
          <w:lang w:eastAsia="nl-BE"/>
        </w:rPr>
        <w:lastRenderedPageBreak/>
        <w:t>van de bewoners negatief beïnvloeden maar die geen direct gevaar vormen voor hun veiligheid of gezondheid, waardoor de woning niet in aanmerking zou komen voor bewoning;</w:t>
      </w:r>
      <w:r w:rsidRPr="007B46EF">
        <w:rPr>
          <w:rFonts w:ascii="Verdana" w:eastAsia="Times New Roman" w:hAnsi="Verdana" w:cs="Times New Roman"/>
          <w:lang w:eastAsia="nl-BE"/>
        </w:rPr>
        <w:br/>
        <w:t>3° gebreken van categorie III: ernstige gebreken die mensonwaardige levensomstandigheden veroorzaken of die een direct gevaar vormen voor de veiligheid of de gezondheid van de bewoners, waardoor de woning niet in aanmerking komt voor bewoning.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omvang van de woning moet minstens beantwoorden aan de woningbezetting. De Vlaamse Regering stelt de normen voor de vereiste minimale omvang van de woning vast in relatie tot de gezinssamenstelling.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Met behoud van de toepassing van paragraaf 1 stelt de Vlaamse Regering aanvullende vereisten en normen vast voor kamers. De bepalingen van dit boek zijn van toepassing op de kamers.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De Vlaamse Regering houdt rekening met specifieke woonvormen en met de situatie van woonwagenbewoners en andere kwetsbare bewonersgroepen en kan het toepassingsgebied van de paragrafen 1 en 2 uitbreiden tot roerende woonwagens.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voor de tijdelijke huisvesting van gezinnen of alleenstaanden die dakloos zijn of dreigen te worden en voor de huisvesting van bewoners van sociale huurwoningen, die tijdelijk ontruimd moeten worden voor renovatiewerkzaamheden, beperkte afwijkingen toestaan van de vereisten en normen die ze vaststelt met toepassing van paragraaf 1 of 2. De Vlaamse Regering bepaalt de aard van die afwijkingen. Ze bepaalt ook een termijn, die niet langer mag zijn dan zes maanden, waarbinnen die afwijkingen gelden.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Tenzij de Vlaamse Regering anders bepaalt zijn artikel 3.4, 3.6, 3.7, 3.8 en 3.9 niet van toepassing als de uitvoering van het eerste of het tweede lid aanleiding geeft tot specifieke of afwijkende vereisten of normen.</w:t>
      </w:r>
    </w:p>
    <w:p w14:paraId="5FD7DB7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 (13/08/2021- ...) </w:t>
      </w:r>
    </w:p>
    <w:p w14:paraId="67644CA8"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gemeenteraad kan bij verordening:</w:t>
      </w:r>
      <w:r w:rsidRPr="007B46EF">
        <w:rPr>
          <w:rFonts w:ascii="Verdana" w:eastAsia="Times New Roman" w:hAnsi="Verdana" w:cs="Times New Roman"/>
          <w:lang w:eastAsia="nl-BE"/>
        </w:rPr>
        <w:br/>
        <w:t>1° het conformiteitsattest, vermeld in artikel 3.6, verplicht stellen en bepalen dat zolang niet aan die verplichting is voldaan, een jaarlijks terugkerende verplichting wordt opgelegd om dat attest aan te vragen;</w:t>
      </w:r>
      <w:r w:rsidRPr="007B46EF">
        <w:rPr>
          <w:rFonts w:ascii="Verdana" w:eastAsia="Times New Roman" w:hAnsi="Verdana" w:cs="Times New Roman"/>
          <w:lang w:eastAsia="nl-BE"/>
        </w:rPr>
        <w:br/>
        <w:t>2° strengere veiligheids- en kwaliteitsnormen voor kamers opleggen dan vastgesteld door de Vlaamse Regering met toepassing van artikel 3.1, §2;</w:t>
      </w:r>
      <w:r w:rsidRPr="007B46EF">
        <w:rPr>
          <w:rFonts w:ascii="Verdana" w:eastAsia="Times New Roman" w:hAnsi="Verdana" w:cs="Times New Roman"/>
          <w:lang w:eastAsia="nl-BE"/>
        </w:rPr>
        <w:br/>
        <w:t>3° het verhuren of ter beschikking of te huur stellen van kamers aan een voorafgaande vergunning onderwerpen met het oog op de naleving van de normen, vermeld in punt 2°;</w:t>
      </w:r>
      <w:r w:rsidRPr="007B46EF">
        <w:rPr>
          <w:rFonts w:ascii="Verdana" w:eastAsia="Times New Roman" w:hAnsi="Verdana" w:cs="Times New Roman"/>
          <w:lang w:eastAsia="nl-BE"/>
        </w:rPr>
        <w:br/>
        <w:t>4° opleggen dat kamers in hetzelfde gebouw hetzij aan studenten, hetzij aan niet-studenten worden verhuurd.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Een gemeentelijke verordening als vermeld in het eerste lid geldt pas vanaf de goedkeuring door de Vlaamse Regering en tot ze herzien of vervangen wordt met toepassing van dezelfde procedure. Als een goedgekeurde verordening opgeheven wordt, brengt de gemeente de Vlaamse Regering daarvan op de hoogte.</w:t>
      </w:r>
      <w:r w:rsidRPr="007B46EF">
        <w:rPr>
          <w:rFonts w:ascii="Verdana" w:eastAsia="Times New Roman" w:hAnsi="Verdana" w:cs="Times New Roman"/>
          <w:lang w:eastAsia="nl-BE"/>
        </w:rPr>
        <w:br/>
      </w:r>
      <w:r w:rsidRPr="007B46EF">
        <w:rPr>
          <w:rFonts w:ascii="Verdana" w:eastAsia="Times New Roman" w:hAnsi="Verdana" w:cs="Times New Roman"/>
          <w:lang w:eastAsia="nl-BE"/>
        </w:rPr>
        <w:lastRenderedPageBreak/>
        <w:br/>
        <w:t>De Vlaamse Regering kan nadere regels bepalen voor de gemeentelijke verordeningen, vermeld in het eerste lid.</w:t>
      </w:r>
    </w:p>
    <w:p w14:paraId="34E11E11" w14:textId="77777777" w:rsidR="007B46EF" w:rsidRPr="006A74E8" w:rsidRDefault="007B46EF" w:rsidP="007B46EF">
      <w:pPr>
        <w:spacing w:before="100" w:beforeAutospacing="1" w:after="100" w:afterAutospacing="1" w:line="240" w:lineRule="auto"/>
        <w:outlineLvl w:val="1"/>
        <w:rPr>
          <w:rFonts w:ascii="Verdana" w:eastAsia="Times New Roman" w:hAnsi="Verdana" w:cs="Times New Roman"/>
          <w:b/>
          <w:bCs/>
          <w:lang w:eastAsia="nl-BE"/>
        </w:rPr>
      </w:pPr>
    </w:p>
    <w:p w14:paraId="5159F684" w14:textId="77777777" w:rsidR="007B46EF" w:rsidRPr="006A74E8" w:rsidRDefault="007B46EF" w:rsidP="007B46EF">
      <w:pPr>
        <w:spacing w:before="100" w:beforeAutospacing="1" w:after="100" w:afterAutospacing="1" w:line="240" w:lineRule="auto"/>
        <w:outlineLvl w:val="1"/>
        <w:rPr>
          <w:rFonts w:ascii="Verdana" w:eastAsia="Times New Roman" w:hAnsi="Verdana" w:cs="Times New Roman"/>
          <w:b/>
          <w:bCs/>
          <w:lang w:eastAsia="nl-BE"/>
        </w:rPr>
      </w:pPr>
    </w:p>
    <w:p w14:paraId="0DDDAE56" w14:textId="3B4B4319"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2. Conformiteitsonderzoek</w:t>
      </w:r>
    </w:p>
    <w:p w14:paraId="0C75E2E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 (01/01/2021- ...) </w:t>
      </w:r>
    </w:p>
    <w:p w14:paraId="3CA86F3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Vlaamse Regering bepaalt de criteria en de procedure om vast stellen of een woning voldoet aan de vereisten en normen, vastgesteld met toepassing van artikel 3.1, §1, §2 en §3, eerste en tweede lid. Ze kan ook de wijze bepalen waarop de mogelijkheid om eventuele tekortkomingen via renovatie-, verbeterings- of aanpassings-werkzaamheden te verhelpen, beoordeeld wordt.</w:t>
      </w:r>
    </w:p>
    <w:p w14:paraId="24BFCD3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 (01/01/2021- 31/12/2022) </w:t>
      </w:r>
    </w:p>
    <w:p w14:paraId="6D300227"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Met behoud van de toepassing van de wettelijke bepalingen over de opsporing van de wanbedrijven, vermeld in artikel 3.37 en 3.38, hebben de instanties die conform de procedure, vermeld in artikel 3.3, bevoegd zijn om een conformiteitsonderzoek in te stellen, het recht om de woning tussen acht uur en twintig uur te bezoeken om vast te stellen of de woning voldoet aan de vereisten en normen, vastgesteld met toepassing van artikel 3.1, §1 en §2, en §3, eerste en tweede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Om hun opdracht, vermeld in het eerste lid, uit te oefenen, kunnen die instanties de volgende handelingen stellen:</w:t>
      </w:r>
      <w:r w:rsidRPr="007B46EF">
        <w:rPr>
          <w:rFonts w:ascii="Verdana" w:eastAsia="Times New Roman" w:hAnsi="Verdana" w:cs="Times New Roman"/>
          <w:lang w:eastAsia="nl-BE"/>
        </w:rPr>
        <w:br/>
        <w:t>1° de identiteit opnemen, de voorlegging van identiteitsdocumenten vorderen en de persoonsgegevens die ze in het kader van hun opdracht verzameld hebben bijhouden zolang dat nodig is voor de uitoefening van die opdracht, maar nooit langer dan tien jaar;</w:t>
      </w:r>
      <w:r w:rsidRPr="007B46EF">
        <w:rPr>
          <w:rFonts w:ascii="Verdana" w:eastAsia="Times New Roman" w:hAnsi="Verdana" w:cs="Times New Roman"/>
          <w:lang w:eastAsia="nl-BE"/>
        </w:rPr>
        <w:br/>
        <w:t>2° inlichtingen vorderen van iedereen die betrokken is bij of kennis heeft of kan hebben van de feiten die worden gecontroleerd;</w:t>
      </w:r>
      <w:r w:rsidRPr="007B46EF">
        <w:rPr>
          <w:rFonts w:ascii="Verdana" w:eastAsia="Times New Roman" w:hAnsi="Verdana" w:cs="Times New Roman"/>
          <w:lang w:eastAsia="nl-BE"/>
        </w:rPr>
        <w:br/>
        <w:t>3° zonder voorafgaande waarschuwing de onmiddellijke voorlegging vorderen van alle informatie, documenten en informatiedragers in geschreven, digitale of analoge vorm;</w:t>
      </w:r>
      <w:r w:rsidRPr="007B46EF">
        <w:rPr>
          <w:rFonts w:ascii="Verdana" w:eastAsia="Times New Roman" w:hAnsi="Verdana" w:cs="Times New Roman"/>
          <w:lang w:eastAsia="nl-BE"/>
        </w:rPr>
        <w:br/>
        <w:t>4° zich kosteloos een kopie laten verstrekken in de vorm die ze vragen of zelf een kopie maken van de documenten die voorgelegd worden;</w:t>
      </w:r>
      <w:r w:rsidRPr="007B46EF">
        <w:rPr>
          <w:rFonts w:ascii="Verdana" w:eastAsia="Times New Roman" w:hAnsi="Verdana" w:cs="Times New Roman"/>
          <w:lang w:eastAsia="nl-BE"/>
        </w:rPr>
        <w:br/>
        <w:t>5° van hun vaststellingen melding maken in een verslag.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huurder en de verhuurder zijn verplicht alle nodige inlichtingen te verstrekken en medewerking te verlenen die redelijkerwijze noodzakelijk is om het conformiteitsonderzoek in de beste omstandigheden te laten verlopen.</w:t>
      </w:r>
    </w:p>
    <w:p w14:paraId="65CF9032"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 (01/01/2021- ...) </w:t>
      </w:r>
    </w:p>
    <w:p w14:paraId="66DBBC1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De Vlaamse Regering kan voorwaarden vastleggen waaraan kandidaat-controleurs van de kwaliteit van woningen moeten voldoen. Die voorwaarden </w:t>
      </w:r>
      <w:r w:rsidRPr="007B46EF">
        <w:rPr>
          <w:rFonts w:ascii="Verdana" w:eastAsia="Times New Roman" w:hAnsi="Verdana" w:cs="Times New Roman"/>
          <w:lang w:eastAsia="nl-BE"/>
        </w:rPr>
        <w:lastRenderedPageBreak/>
        <w:t>hebben in ieder geval betrekking op:</w:t>
      </w:r>
      <w:r w:rsidRPr="007B46EF">
        <w:rPr>
          <w:rFonts w:ascii="Verdana" w:eastAsia="Times New Roman" w:hAnsi="Verdana" w:cs="Times New Roman"/>
          <w:lang w:eastAsia="nl-BE"/>
        </w:rPr>
        <w:br/>
        <w:t>1° diploma's en opleiding;</w:t>
      </w:r>
      <w:r w:rsidRPr="007B46EF">
        <w:rPr>
          <w:rFonts w:ascii="Verdana" w:eastAsia="Times New Roman" w:hAnsi="Verdana" w:cs="Times New Roman"/>
          <w:lang w:eastAsia="nl-BE"/>
        </w:rPr>
        <w:br/>
        <w:t>2° beroepskennis en -ervaring;</w:t>
      </w:r>
      <w:r w:rsidRPr="007B46EF">
        <w:rPr>
          <w:rFonts w:ascii="Verdana" w:eastAsia="Times New Roman" w:hAnsi="Verdana" w:cs="Times New Roman"/>
          <w:lang w:eastAsia="nl-BE"/>
        </w:rPr>
        <w:br/>
        <w:t>3° de onafhankelijke wijze van handelen van de controleur ten aanzien van opdrachtgevers en commerciële belangen.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w:t>
      </w:r>
      <w:r w:rsidRPr="007B46EF">
        <w:rPr>
          <w:rFonts w:ascii="Verdana" w:eastAsia="Times New Roman" w:hAnsi="Verdana" w:cs="Times New Roman"/>
          <w:lang w:eastAsia="nl-BE"/>
        </w:rPr>
        <w:br/>
        <w:t>1° categorieën van controleurs bepalen;</w:t>
      </w:r>
      <w:r w:rsidRPr="007B46EF">
        <w:rPr>
          <w:rFonts w:ascii="Verdana" w:eastAsia="Times New Roman" w:hAnsi="Verdana" w:cs="Times New Roman"/>
          <w:lang w:eastAsia="nl-BE"/>
        </w:rPr>
        <w:br/>
        <w:t>2° de procedure voor de erkenning van de controleurs bepalen;</w:t>
      </w:r>
      <w:r w:rsidRPr="007B46EF">
        <w:rPr>
          <w:rFonts w:ascii="Verdana" w:eastAsia="Times New Roman" w:hAnsi="Verdana" w:cs="Times New Roman"/>
          <w:lang w:eastAsia="nl-BE"/>
        </w:rPr>
        <w:br/>
        <w:t>3° de procedure en voorwaarden voor de schorsing en intrekking van die erkenning vaststellen;</w:t>
      </w:r>
      <w:r w:rsidRPr="007B46EF">
        <w:rPr>
          <w:rFonts w:ascii="Verdana" w:eastAsia="Times New Roman" w:hAnsi="Verdana" w:cs="Times New Roman"/>
          <w:lang w:eastAsia="nl-BE"/>
        </w:rPr>
        <w:br/>
        <w:t>4° voorwaarden koppelen aan de opheffing van een schorsing;</w:t>
      </w:r>
      <w:r w:rsidRPr="007B46EF">
        <w:rPr>
          <w:rFonts w:ascii="Verdana" w:eastAsia="Times New Roman" w:hAnsi="Verdana" w:cs="Times New Roman"/>
          <w:lang w:eastAsia="nl-BE"/>
        </w:rPr>
        <w:br/>
        <w:t>5° kwaliteitseisen vastleggen en de instantie aanwijzen die belast is met de controle op de werkzaamheden van controleurs.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voorwaarden vastleggen waaraan de opleidingsinstellingen voor de controleurs dienen te voldoen en kan ook voorwaarden vastleggen waaraan de lesgevers van een opleidingsinstelling moeten voldoen.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de procedure voor de erkenning van de opleidingsinstellingen en de procedure en voorwaarden voor de schorsing en intrekking van die erkenning vastleggen. De Vlaamse Regering kan ook kwaliteitseisen vastleggen voor de opleiding en de lesgevers en wijst de instantie aan die belast is met de controle op hun werkzaamheden.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tevens de inhoud van de door de erkende opleidingsinstellingen aan de controleurs te verstrekken opleidingen bepalen.</w:t>
      </w:r>
    </w:p>
    <w:p w14:paraId="16CB5D61"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3. Conformiteitsattest</w:t>
      </w:r>
    </w:p>
    <w:p w14:paraId="12CA0D5C"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3.6. (20/09/2021- ...) </w:t>
      </w:r>
    </w:p>
    <w:p w14:paraId="093DE65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De conformiteit van een woning die verhuurd wordt of te huur of ter beschikking gesteld wordt als hoofdverblijfplaats of voor de huisvesting van een of meer studenten, kan blijken uit het conformiteitsattest dat de burgemeester afgeeft op eigen initiatief of op verzoek. Het conformiteitsattest vermeldt de aanwezigheid van eventuele gebreken als vermeld in artikel 3.1, §1, derde lid, 1°, en de toegestane maximale woningbezetting volgens de normen die worden vastgesteld met toepassing van artikel 3.1, §1, vierde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stelt het model, de vergoeding voor de behandeling van een aanvraag tot afgifte en de regels voor de bekendmaking van het conformiteitsattest vast.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In afwijking van paragraaf 1 geldt het proces-verbaal van uitvoering, vermeld in artikel 3.46, derde lid, als conformiteitsattest, op voorwaarde dat uit het proces-verbaal blijkt dat de woning opnieuw conform is.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In afwijking van paragraaf 1 kan de gewestelijk ambtenaar een conformiteitsattest afgeven aan de verhuurder of de houder van het zakelijk recht, in een van de volgende gevallen:</w:t>
      </w:r>
      <w:r w:rsidRPr="007B46EF">
        <w:rPr>
          <w:rFonts w:ascii="Verdana" w:eastAsia="Times New Roman" w:hAnsi="Verdana" w:cs="Times New Roman"/>
          <w:lang w:eastAsia="nl-BE"/>
        </w:rPr>
        <w:br/>
      </w:r>
      <w:r w:rsidRPr="007B46EF">
        <w:rPr>
          <w:rFonts w:ascii="Verdana" w:eastAsia="Times New Roman" w:hAnsi="Verdana" w:cs="Times New Roman"/>
          <w:lang w:eastAsia="nl-BE"/>
        </w:rPr>
        <w:lastRenderedPageBreak/>
        <w:t>1° voor een woning die voor verhuring aangeboden wordt aan een woonmaatschappij;</w:t>
      </w:r>
      <w:r w:rsidRPr="007B46EF">
        <w:rPr>
          <w:rFonts w:ascii="Verdana" w:eastAsia="Times New Roman" w:hAnsi="Verdana" w:cs="Times New Roman"/>
          <w:lang w:eastAsia="nl-BE"/>
        </w:rPr>
        <w:br/>
        <w:t>2° na een conformiteitsonderzoek voor de tegemoetkoming in de huurprijs, vermeld in artikel 5.73 en 5.74.</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In afwijking van paragraaf 1 kan de wooninspecteur, naar aanleiding van een vraag tot </w:t>
      </w:r>
      <w:proofErr w:type="spellStart"/>
      <w:r w:rsidRPr="007B46EF">
        <w:rPr>
          <w:rFonts w:ascii="Verdana" w:eastAsia="Times New Roman" w:hAnsi="Verdana" w:cs="Times New Roman"/>
          <w:lang w:eastAsia="nl-BE"/>
        </w:rPr>
        <w:t>hercontrole</w:t>
      </w:r>
      <w:proofErr w:type="spellEnd"/>
      <w:r w:rsidRPr="007B46EF">
        <w:rPr>
          <w:rFonts w:ascii="Verdana" w:eastAsia="Times New Roman" w:hAnsi="Verdana" w:cs="Times New Roman"/>
          <w:lang w:eastAsia="nl-BE"/>
        </w:rPr>
        <w:t xml:space="preserve"> als vermeld in artikel 3.46, voor een conforme woning een conformiteitsattest afgeven, als het herstel dat met toepassing van artikel 3.43 is gevorderd voor meerdere woningen in een pand, nog niet volledig is uitgevoerd, op voorwaarde dat hij alle woningen waarvan het herstel is gevorderd onderzoekt en het niet-afgeven van het conformiteitsattest zou leiden tot het verschuldigd zijn van een nakende heffing of een ander ernstig nadeel zou berokkenen aan de aanvrager.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3. Als een bewoner van een kamer op het adres van het pand waarin de kamer zich bevindt, is ingeschreven in de bevolkingsregisters of het wachtregister, vermeld in artikel 1, § 1, eerste lid, 1° en 2°, van de wet van 19 juli 1991 betreffende de bevolkingsregisters, de identiteitskaarten, de vreemdelingenkaarten en de verblijfsdocumenten, en er een aanmaning, een proces-verbaal of een verslag van vaststelling voorligt waaruit blijkt dat voor die kamer niet voldaan is aan de verplichting van artikel 4.2.1, 6° of 7°, van de Vlaamse Codex Ruimtelijke Ordening, wordt de afgifte van een conformiteitsattest als vermeld in paragraaf 1 en 2 geweigerd.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Het eerste lid is niet van toepassing op kamers die uiterlijk op 31 december 2021 in de inventaris zijn opgenomen.</w:t>
      </w:r>
    </w:p>
    <w:p w14:paraId="20DB8F8D" w14:textId="77777777" w:rsidR="007B46EF" w:rsidRPr="006A74E8" w:rsidRDefault="007B46EF" w:rsidP="007B46EF">
      <w:pPr>
        <w:spacing w:before="100" w:beforeAutospacing="1" w:after="100" w:afterAutospacing="1" w:line="240" w:lineRule="auto"/>
        <w:rPr>
          <w:rFonts w:ascii="Verdana" w:eastAsia="Times New Roman" w:hAnsi="Verdana" w:cs="Times New Roman"/>
          <w:lang w:eastAsia="nl-BE"/>
        </w:rPr>
      </w:pPr>
    </w:p>
    <w:p w14:paraId="26B93C11" w14:textId="0352F708"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3.7. (01/01/2021- ...) </w:t>
      </w:r>
    </w:p>
    <w:p w14:paraId="2B422A1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Het verzoek, vermeld in artikel 3.6, §1, eerste lid, wordt ingediend bij de burgemeester van de gemeente waarin de woning ligt, door de natuurlijke persoon of de rechtspersoon die als eigenaar, mede-eigenaar, vruchtgebruiker, erfpachter, opstalhouder of onderverhuurder een woning als hoofdverblijfplaats of met het oog op de huisvesting van een of meer studenten verhuurt of te huur of ter beschikking stelt.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burgemeester neemt binnen zestig dagen na de datum van het verzoek een beslissing over de afgifte van het conformiteitsattest, na een conformiteitsonderzoek dat verloopt volgens de procedure, vermeld in artikel 3.3.</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Als de burgemeester de afgifte van het conformiteitsattest weigert of geen beslissing neemt, kan de verzoeker binnen dertig dagen na de ontvangst van de weigering of na het verstrijken van de termijn, vermeld in paragraaf 1, tweede lid, een conformiteitsonderzoek aanvragen bij de gewestelijk ambtenaar, die in dat geval zelf het conformiteitsattest kan afgeven.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stelt de vergoeding voor de behandeling van een aanvraag tot afgifte van het conformiteitsattest door de gewestelijk ambtenaar vast.</w:t>
      </w:r>
    </w:p>
    <w:p w14:paraId="2454E2D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lastRenderedPageBreak/>
        <w:t xml:space="preserve">Artikel 3.8. (01/01/2021- ...) </w:t>
      </w:r>
    </w:p>
    <w:p w14:paraId="678EED9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Het verzoek tot opheffing van het besluit waarbij een woning ongeschikt of onbewoonbaar verklaard is met toepassing van deel 5, titel 1, wordt behandeld als een verzoek als vermeld in artikel 3.7, §1, ongeacht door wie dat verzoek ingediend wordt.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het verzoek ingewilligd wordt, geeft de burgemeester ambtshalve het conformiteitsattest af aan de eigenaar, ongeacht of de woning al dan niet verhuurd of te huur of ter beschikking gesteld wordt. Als het verzoek betrekking heeft op een woning die na de ongeschikt- of onbewoonbaarverklaring een andere bestemming gekregen heeft of gesloopt is, heft de burgemeester het besluit op zonder afgifte van een conformiteitsattest.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Met behoud van de toepassing van artikel 3.17, tweede lid, wordt een besluit als vermeld in het eerste lid, dat dateert van voor de afgifte van het conformiteitsattest door de burgemeester of door de gewestelijk ambtenaar, geacht opgeheven te zijn met ingang van de datum van het conformiteitsattest. Hetzelfde geldt voor het besluit dat dateert van voor het proces-verbaal van uitvoering, vermeld in artikel 3.46, derde lid, met ingang van de datum van het proces-verbaal.</w:t>
      </w:r>
    </w:p>
    <w:p w14:paraId="713E202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3.9. (20/09/2021- 31/12/2022) </w:t>
      </w:r>
    </w:p>
    <w:p w14:paraId="7C9F347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Het conformiteitsattest vervalt van rechtswege vanaf het ogenblik dat:</w:t>
      </w:r>
      <w:r w:rsidRPr="007B46EF">
        <w:rPr>
          <w:rFonts w:ascii="Verdana" w:eastAsia="Times New Roman" w:hAnsi="Verdana" w:cs="Times New Roman"/>
          <w:lang w:eastAsia="nl-BE"/>
        </w:rPr>
        <w:br/>
        <w:t>1° aan de woning werkzaamheden uitgevoerd worden als vermeld in artikel 18 van het Vlaams Woninghuurdecreet;</w:t>
      </w:r>
      <w:r w:rsidRPr="007B46EF">
        <w:rPr>
          <w:rFonts w:ascii="Verdana" w:eastAsia="Times New Roman" w:hAnsi="Verdana" w:cs="Times New Roman"/>
          <w:lang w:eastAsia="nl-BE"/>
        </w:rPr>
        <w:br/>
        <w:t>2° de woning ongeschikt of onbewoonbaar verklaard wordt met toepassing van deel 5, titel 1;</w:t>
      </w:r>
      <w:r w:rsidRPr="007B46EF">
        <w:rPr>
          <w:rFonts w:ascii="Verdana" w:eastAsia="Times New Roman" w:hAnsi="Verdana" w:cs="Times New Roman"/>
          <w:lang w:eastAsia="nl-BE"/>
        </w:rPr>
        <w:br/>
        <w:t>3° de woning onbewoonbaar verklaard wordt met toepassing van artikel 135 van de Nieuwe Gemeentewet;</w:t>
      </w:r>
      <w:r w:rsidRPr="007B46EF">
        <w:rPr>
          <w:rFonts w:ascii="Verdana" w:eastAsia="Times New Roman" w:hAnsi="Verdana" w:cs="Times New Roman"/>
          <w:lang w:eastAsia="nl-BE"/>
        </w:rPr>
        <w:br/>
        <w:t>4° er voor de woning een proces-verbaal als vermeld in artikel 3.37, opgesteld wordt;</w:t>
      </w:r>
      <w:r w:rsidRPr="007B46EF">
        <w:rPr>
          <w:rFonts w:ascii="Verdana" w:eastAsia="Times New Roman" w:hAnsi="Verdana" w:cs="Times New Roman"/>
          <w:lang w:eastAsia="nl-BE"/>
        </w:rPr>
        <w:br/>
        <w:t>5° er een termijn van tien jaar of een termijn die vastgesteld wordt door de gemeenteraad, met een maximum van tien jaar, verstreken is na de afgifte van het conformiteitsattest.</w:t>
      </w:r>
      <w:r w:rsidRPr="007B46EF">
        <w:rPr>
          <w:rFonts w:ascii="Verdana" w:eastAsia="Times New Roman" w:hAnsi="Verdana" w:cs="Times New Roman"/>
          <w:lang w:eastAsia="nl-BE"/>
        </w:rPr>
        <w:br/>
        <w:t>6° in een aanmaning, proces-verbaal of een verslag van vaststelling wordt vastgesteld dat de kamer waarvoor het conformiteitsattest is afgegeven, gecreëerd is zonder te voldoen aan de verplichting van artikel 4.2.1, 6° of 7°, van de Vlaamse Codex Ruimtelijke Ordening, en de kamer na de afgifte van het conformiteitsattest bewoond werd door een persoon die op het adres van het pand waarin de kamer zich bevindt ingeschreven was in de bevolkingsregisters of het wachtregister, vermeld in artikel 1, § 1, eerste lid, 1° en 2°, van de wet van 19 juli 1991 betreffende de bevolkingsregisters, de identiteitskaarten, de vreemdelingenkaarten en de verblijfsdocumenten.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de termijn van tien jaar, vermeld in het eerste lid, 5°, beperken voor conformiteitsattesten die afgegeven worden nadat beperkte gebreken vastgesteld zijn bij het conformiteitsonderzoek.</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Met behoud van de toepassing van het tweede lid geldt de termijn, vermeld in </w:t>
      </w:r>
      <w:r w:rsidRPr="007B46EF">
        <w:rPr>
          <w:rFonts w:ascii="Verdana" w:eastAsia="Times New Roman" w:hAnsi="Verdana" w:cs="Times New Roman"/>
          <w:lang w:eastAsia="nl-BE"/>
        </w:rPr>
        <w:lastRenderedPageBreak/>
        <w:t>het eerste lid, 5°, ook voor de conformiteitsattesten die de gewestelijke ambtenaar afgeeft met toepassing van artikel 3.6, §2, 2°, en artikel 3.7, §2.</w:t>
      </w:r>
    </w:p>
    <w:p w14:paraId="02ADA888"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4. Waarschuwing</w:t>
      </w:r>
    </w:p>
    <w:p w14:paraId="5B272C77"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3.10. (01/01/2021- ...) </w:t>
      </w:r>
    </w:p>
    <w:p w14:paraId="08E1C0E1"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Een gemeente die een melding ontvangt over de mogelijk gebrekkige kwaliteit van een woning geeft een ontvangstbewijs aan de melder, verstrekt hem informatie over de procedures, vermeld in dit deel en in deel 5, titel 1, en kan binnen een korte termijn, die de Vlaamse Regering nader bepaalt, een conformiteitsonderzoek uitvoeren, dat verloopt volgens de procedure, vermeld in artikel 3.3.</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wordt vastgesteld dat de woning niet conform is, kan de gemeente, in de gevallen die de Vlaamse Regering nader bepaalt, aan de houder van het zakelijk recht een termijn geven om de woning conform te maken. De gemeente doet dit binnen de maand na de melding, vermeld in het eerste lid. De gegeven hersteltermijn eindigt in ieder geval binnen de drie maanden na deze melding. Tegelijkertijd waarschuwt de gemeente de houder van het zakelijk recht voor de mogelijke gevolgen bij gebrek aan herstel en brengt ze de bewoners van de toegekende hersteltermijn op de hoogte.</w:t>
      </w:r>
      <w:r w:rsidRPr="007B46EF">
        <w:rPr>
          <w:rFonts w:ascii="Verdana" w:eastAsia="Times New Roman" w:hAnsi="Verdana" w:cs="Times New Roman"/>
          <w:lang w:eastAsia="nl-BE"/>
        </w:rPr>
        <w:br/>
      </w:r>
      <w:r w:rsidRPr="007B46EF">
        <w:rPr>
          <w:rFonts w:ascii="Verdana" w:eastAsia="Times New Roman" w:hAnsi="Verdana" w:cs="Times New Roman"/>
          <w:lang w:eastAsia="nl-BE"/>
        </w:rPr>
        <w:br/>
        <w:t>Bij melding van herstel en uiterlijk binnen drie maanden na de melding, vermeld in het eerste lid, onderzoekt de gemeente de woning een tweede keer conform de procedure, vermeld in artikel 3.3. Als wordt vastgesteld dat de woning conform is, geeft de burgemeester een conformiteitsattest af.</w:t>
      </w:r>
      <w:r w:rsidRPr="007B46EF">
        <w:rPr>
          <w:rFonts w:ascii="Verdana" w:eastAsia="Times New Roman" w:hAnsi="Verdana" w:cs="Times New Roman"/>
          <w:lang w:eastAsia="nl-BE"/>
        </w:rPr>
        <w:br/>
      </w:r>
      <w:r w:rsidRPr="007B46EF">
        <w:rPr>
          <w:rFonts w:ascii="Verdana" w:eastAsia="Times New Roman" w:hAnsi="Verdana" w:cs="Times New Roman"/>
          <w:lang w:eastAsia="nl-BE"/>
        </w:rPr>
        <w:br/>
        <w:t>Het ontbreken van een melding van herstel binnen de toegekende hersteltermijn als vermeld in het derde lid, of het ontbreken van een vaststelling van conformiteit binnen drie maanden na het conformiteitsonderzoek, vermeld in het eerste lid, geldt als de indiening van een verzoek om de woning ongeschikt of onbewoonbaar te verklaren, vermeld in artikel 3.13, eerste lid. In dat geval kan de gemeente de procedure, vermeld in het eerste, tweede en derde lid, niet meer herhalen.</w:t>
      </w:r>
    </w:p>
    <w:p w14:paraId="57B1349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3.11. (01/01/2021- ...) </w:t>
      </w:r>
    </w:p>
    <w:p w14:paraId="443AFE7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De Vlaamse Regering kan nadere formele en procedurele regels bepalen voor de toepassing van dit deel. </w:t>
      </w:r>
    </w:p>
    <w:p w14:paraId="2641CA64"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5. Ongeschikt- en onbewoonbaarverklaring</w:t>
      </w:r>
    </w:p>
    <w:p w14:paraId="44FE3505" w14:textId="77777777" w:rsidR="007B46EF" w:rsidRPr="007B46EF" w:rsidRDefault="007B46EF" w:rsidP="007B46EF">
      <w:pPr>
        <w:spacing w:before="100" w:beforeAutospacing="1" w:after="100" w:afterAutospacing="1" w:line="240" w:lineRule="auto"/>
        <w:outlineLvl w:val="2"/>
        <w:rPr>
          <w:rFonts w:ascii="Verdana" w:eastAsia="Times New Roman" w:hAnsi="Verdana" w:cs="Times New Roman"/>
          <w:b/>
          <w:bCs/>
          <w:lang w:eastAsia="nl-BE"/>
        </w:rPr>
      </w:pPr>
      <w:r w:rsidRPr="007B46EF">
        <w:rPr>
          <w:rFonts w:ascii="Verdana" w:eastAsia="Times New Roman" w:hAnsi="Verdana" w:cs="Times New Roman"/>
          <w:b/>
          <w:bCs/>
          <w:lang w:eastAsia="nl-BE"/>
        </w:rPr>
        <w:t xml:space="preserve">Titel 1. Procedure tot ongeschikt- en onbewoonbaarverklaring </w:t>
      </w:r>
    </w:p>
    <w:p w14:paraId="6744E0B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3.12. (20/09/2021- ...) </w:t>
      </w:r>
    </w:p>
    <w:p w14:paraId="5DD1B9A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§1. Met behoud van de toepassing van artikel 135 van de Nieuwe Gemeentewet kan de burgemeester, op eigen initiatief of op verzoek, een woning die niet conform is, bij besluit ongeschikt of onbewoonbaar verklaren, op voorwaarde dat de gewestelijk ambtenaar de ongeschikt- of onbewoonbaarverklaring </w:t>
      </w:r>
      <w:r w:rsidRPr="007B46EF">
        <w:rPr>
          <w:rFonts w:ascii="Verdana" w:eastAsia="Times New Roman" w:hAnsi="Verdana" w:cs="Times New Roman"/>
          <w:lang w:eastAsia="nl-BE"/>
        </w:rPr>
        <w:lastRenderedPageBreak/>
        <w:t>geadviseerd heeft en na de houder van het zakelijk recht en de bewoner gehoord te hebben. De burgemeester neemt in dat geval alle maatregelen die hij noodzakelijk acht ter uitvoering van zijn besluit.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na het horen van de betrokkenen blijkt dat de gebreken die aanleiding gegeven hebben tot het advies van de gewestelijk ambtenaar, vermeld in het eerste lid, geheel of gedeeltelijk hersteld zijn, kan de burgemeester, die vaststelt dat de woning nog niet conform is, toch een besluit nemen als vermeld in het eerste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De burgemeester kan, voor een of meer gebreken van categorie III als vermeld in artikel 3.1, §1, derde lid, 3°, die vastgesteld zijn bij het conformiteitsonderzoek, de uitvoering binnen een termijn van maximaal vijftien dagen, van de dringende renovatie-, verbeterings- of aanpassingswerkzaamheden opleggen.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dringende werkzaamheden niet uitgevoerd worden binnen de termijn, vermeld in het eerste lid, kan de burgemeester ze zelf laten uitvoeren. Op vertoon van een staat kunnen de kosten van de uitgevoerde werkzaamheden in dat geval verhaald worden op de eigenaar.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Op verzoek van de gemeenteraad kan de Vlaamse Regering de burgemeester vrijstellen van de verplichting om het advies van de gewestelijk ambtenaar, vermeld in paragraaf 1, eerste lid, te vragen. De Vlaamse Regering bepaalt de voorwaarden voor de vrijstelling. De vrijstelling geldt vanaf de goedkeuring ervan door de Vlaamse Regering. Ze kan op elk moment ingetrokken worden als blijkt dat niet meer voldaan is aan de voorwaarden waaronder ze verleend is.</w:t>
      </w:r>
    </w:p>
    <w:p w14:paraId="51CC90E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3.13. (01/01/2021- ...) </w:t>
      </w:r>
    </w:p>
    <w:p w14:paraId="2FE038E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Het verzoek om een woning ongeschikt of onbewoonbaar te verklaren, kan ingediend worden door het gemeentebestuur, de voorzitter van de raad voor maatschappelijk welzijn, de gewestelijk ambtenaar, een sociale woonorganisatie, de wooninspecteur of iedereen die blijk geeft van een belang.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burgemeester neemt een beslissing binnen drie maanden na de ontvangst van het verzoek, vermeld in het eerste lid. Als een gemeente heeft gekozen voor de toepassing van de procedure, vermeld in deel 4 van dit boek, geldt alleen de termijn die loopt na de toepassing van artikel 3.10, vierde lid, op voorwaarde dat de gemeente een conformiteitsonderzoek als vermeld in artikel 3.10, eerste lid, heeft uitgevoerd binnen de daar vermelde korte termijn, en een hersteltermijn heeft toegekend als vermeld in artikel 3.10, tweede lid, binnen de daar vermelde termijn van een maand.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burgemeester mag voorbijgaan aan de adviesvereiste, vermeld in artikel 3.12, §1, eerste lid, als de gewestelijk ambtenaar geen advies uitgebracht heeft binnen 75 dagen na de ontvangst van de adviesvraag en zolang hij niet op de hoogte gebracht is van een advies dat uitgebracht is na die termijn.</w:t>
      </w:r>
    </w:p>
    <w:p w14:paraId="47F3ABD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w:t>
      </w:r>
    </w:p>
    <w:p w14:paraId="6A153518"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3.14. (20/09/2021- ...) </w:t>
      </w:r>
    </w:p>
    <w:p w14:paraId="3E6711E7" w14:textId="1ED1DA8E"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lastRenderedPageBreak/>
        <w:t>Tegen de beslissing van de burgemeester, vermeld in artikel 3.13, tweede lid, kan binnen dertig dagen na de betekening van de beslissing beroep aangetekend worden bij de Vlaamse Regering. Bij de kennisgeving van de ontvankelijkheid van het beroep nodigt de Vlaamse Regering de houder van het zakelijk recht, de bewoner en de burgemeester uit om hun argumenten schriftelijk kenbaar te maken.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voegt alle tijdig ingestelde beroepen tegen dezelfde beslissing verplicht samen. Alle betrokken partijen worden onverwijld in kennis gesteld van de samenvoeging.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neemt een beslissing binnen drie maanden na de ontvangst van het laatst ingestelde beroep. Als er geen beslissing genomen wordt binnen de termijn van drie maanden, wordt het beroep geacht afgewezen te zijn.</w:t>
      </w:r>
    </w:p>
    <w:p w14:paraId="13268DFB"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3.15. (20/09/2021- ...) </w:t>
      </w:r>
    </w:p>
    <w:p w14:paraId="5B03D69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Als de burgemeester geen beslissing neemt over het verzoek, vermeld in artikel 3.13, eerste lid, kunnen de verzoeker en de overige instanties, vermeld in artikel 3.13, eerste lid, beroep aantekenen bij de Vlaamse Regering binnen twaalf maanden na het verstrijken van de termijn van drie maanden, vermeld in artikel 3.13, tweede lid. De Vlaamse Regering nodigt de houder van het zakelijk recht en de bewoner uit om hun argumenten schriftelijk kenbaar te maken en brengt de burgemeester op de hoogte van het beroep en van het verval van zijn beslissingsbevoegdheid.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neemt een beslissing binnen drie maanden na de ontvangst van het beroep tegen het stilzitten van de burgemeester. Als er geen beslissing genomen wordt binnen de termijn van drie maanden, wordt het beroep geacht afgewezen te zijn.</w:t>
      </w:r>
    </w:p>
    <w:p w14:paraId="3D4D2F0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3.16. (20/09/2021- ...) </w:t>
      </w:r>
    </w:p>
    <w:p w14:paraId="2CA347BC" w14:textId="4B424F3F"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Vlaamse Regering kan in beroep het besluit nemen om de woning ongeschikt of onbewoonbaar te verklaren en de nodige maatregelen bevelen. Ze kan onder meer de burgemeester gelasten het gebouw te doen ontruimen en de toegang ertoe te verbieden. Ze bepaalt eventueel de termijn die in acht genomen moet worden voordat die maatregel uitgevoerd wordt.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burgemeester de maatregelen, bevolen met toepassing van het eerste lid, niet uitvoert, is artikel 335 van het decreet van 22 december 2017 over het lokaal bestuur van toepassing.</w:t>
      </w:r>
    </w:p>
    <w:p w14:paraId="0F03B6C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3.17. (01/01/2021- ...) </w:t>
      </w:r>
    </w:p>
    <w:p w14:paraId="1C872AE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instantie die het besluit tot ongeschikt- of onbewoonbaarverklaring genomen heeft, deelt onmiddellijk aan de gewestelijk ambtenaar en aan de wooninspecteur mee welke woningen door het besluit gevat zijn.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Als een ongeschikt of onbewoonbaar verklaarde woning wordt samengevoegd met een of meer andere woningen of wordt opgesplitst in twee of meer </w:t>
      </w:r>
      <w:r w:rsidRPr="007B46EF">
        <w:rPr>
          <w:rFonts w:ascii="Verdana" w:eastAsia="Times New Roman" w:hAnsi="Verdana" w:cs="Times New Roman"/>
          <w:lang w:eastAsia="nl-BE"/>
        </w:rPr>
        <w:lastRenderedPageBreak/>
        <w:t>woningen, kan het besluit tot ongeschikt- of onbewoonbaarverklaring alleen opgeheven worden met toepassing van artikel 3.8 als deze wijziging stedenbouwkundig vergund is en als de conformiteit van alle woningen waarop de herindeling van toepassing is, vastgesteld is.</w:t>
      </w:r>
    </w:p>
    <w:p w14:paraId="0885FED8"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3.18. (01/01/2021- ...) </w:t>
      </w:r>
    </w:p>
    <w:p w14:paraId="178E61E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Vlaamse Regering kan nadere formele en procedurele regels bepalen voor de toepassing van deze titel.</w:t>
      </w:r>
    </w:p>
    <w:p w14:paraId="4C4EFF63" w14:textId="77777777" w:rsidR="007B46EF" w:rsidRPr="007B46EF" w:rsidRDefault="007B46EF" w:rsidP="007B46EF">
      <w:pPr>
        <w:spacing w:before="100" w:beforeAutospacing="1" w:after="100" w:afterAutospacing="1" w:line="240" w:lineRule="auto"/>
        <w:outlineLvl w:val="2"/>
        <w:rPr>
          <w:rFonts w:ascii="Verdana" w:eastAsia="Times New Roman" w:hAnsi="Verdana" w:cs="Times New Roman"/>
          <w:b/>
          <w:bCs/>
          <w:lang w:eastAsia="nl-BE"/>
        </w:rPr>
      </w:pPr>
      <w:r w:rsidRPr="007B46EF">
        <w:rPr>
          <w:rFonts w:ascii="Verdana" w:eastAsia="Times New Roman" w:hAnsi="Verdana" w:cs="Times New Roman"/>
          <w:b/>
          <w:bCs/>
          <w:lang w:eastAsia="nl-BE"/>
        </w:rPr>
        <w:t xml:space="preserve">Titel 2. Inventaris van ongeschikte en onbewoonbare woningen </w:t>
      </w:r>
    </w:p>
    <w:p w14:paraId="0DA84758"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3.19. (20/09/2021- ...) </w:t>
      </w:r>
    </w:p>
    <w:p w14:paraId="2EF7161E" w14:textId="3FD400E5"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De inventarisbeheerder maakt een inventaris met afzonderlijke lijsten van:</w:t>
      </w:r>
      <w:r w:rsidRPr="007B46EF">
        <w:rPr>
          <w:rFonts w:ascii="Verdana" w:eastAsia="Times New Roman" w:hAnsi="Verdana" w:cs="Times New Roman"/>
          <w:lang w:eastAsia="nl-BE"/>
        </w:rPr>
        <w:br/>
        <w:t>1° woningen die ongeschikt of onbewoonbaar zijn verklaard conform artikel 3.12 tot en met 3.18;</w:t>
      </w:r>
      <w:r w:rsidRPr="007B46EF">
        <w:rPr>
          <w:rFonts w:ascii="Verdana" w:eastAsia="Times New Roman" w:hAnsi="Verdana" w:cs="Times New Roman"/>
          <w:lang w:eastAsia="nl-BE"/>
        </w:rPr>
        <w:br/>
        <w:t>2° woningen die onbewoonbaar zijn verklaard conform artikel 135 van de Nieuwe Gemeentewet.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wijst de inventarisbeheerder, vermeld in het eerste lid, aan en bepaalt de nadere regels voor de vorm en de wijze waarop de inventaris wordt bijgehouden en beheerd.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Elke gemeente ontvangt een uittreksel van de in de inventaris geregistreerde woningen die zich op haar grondgebied bevinden.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gemeente verleent aan iedereen die erom verzoekt inzage in de lijst met de woningen die geregistreerd zijn in de inventaris.</w:t>
      </w:r>
    </w:p>
    <w:p w14:paraId="5818471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3.20. (30/08/2021- ...) </w:t>
      </w:r>
    </w:p>
    <w:p w14:paraId="15ACE929" w14:textId="1CA4E7FA"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De woningen, vermeld in artikel 3.19, § 1, 1°, worden ingeschreven op de inventarislijst op de datum van het besluit van de burgemeester, vermeld in artikel 3.12, § 1. In geval van een beslissing tot </w:t>
      </w:r>
      <w:proofErr w:type="spellStart"/>
      <w:r w:rsidRPr="007B46EF">
        <w:rPr>
          <w:rFonts w:ascii="Verdana" w:eastAsia="Times New Roman" w:hAnsi="Verdana" w:cs="Times New Roman"/>
          <w:lang w:eastAsia="nl-BE"/>
        </w:rPr>
        <w:t>ongeschiktof</w:t>
      </w:r>
      <w:proofErr w:type="spellEnd"/>
      <w:r w:rsidRPr="007B46EF">
        <w:rPr>
          <w:rFonts w:ascii="Verdana" w:eastAsia="Times New Roman" w:hAnsi="Verdana" w:cs="Times New Roman"/>
          <w:lang w:eastAsia="nl-BE"/>
        </w:rPr>
        <w:t xml:space="preserve"> onbewoonbaarverklaring in beroep als vermeld in artikel 3.16, eerste lid, worden de woningen ook ingeschreven op de inventarislijst op de datum van het besluit, vermeld in artikel 3.12, § 1, tenzij:</w:t>
      </w:r>
      <w:r w:rsidRPr="007B46EF">
        <w:rPr>
          <w:rFonts w:ascii="Verdana" w:eastAsia="Times New Roman" w:hAnsi="Verdana" w:cs="Times New Roman"/>
          <w:lang w:eastAsia="nl-BE"/>
        </w:rPr>
        <w:br/>
        <w:t>1° het besluit, vermeld in artikel 3.12, § 1, niet tot stand gekomen is volgens de procedure, vermeld in artikel 3.12 en 3.13;</w:t>
      </w:r>
      <w:r w:rsidRPr="007B46EF">
        <w:rPr>
          <w:rFonts w:ascii="Verdana" w:eastAsia="Times New Roman" w:hAnsi="Verdana" w:cs="Times New Roman"/>
          <w:lang w:eastAsia="nl-BE"/>
        </w:rPr>
        <w:br/>
        <w:t>2° het een beslissing betreft als vermeld in artikel 3.15, tweede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In deze gevallen worden de woningen ingeschreven op de inventarislijst op de datum van het besluit, vermeld in artikel 16, eerste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woningen, vermeld in artikel 3.19, §1, 2°, worden ingeschreven op de inventarislijst op de datum van het besluit van de burgemeester.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Dit artikel geldt ook voor de afsplitsbare woningen en voor de bedrijfsruimten waarvan de woning van de eigenaar als verblijfplaats wordt benut en een niet-</w:t>
      </w:r>
      <w:proofErr w:type="spellStart"/>
      <w:r w:rsidRPr="007B46EF">
        <w:rPr>
          <w:rFonts w:ascii="Verdana" w:eastAsia="Times New Roman" w:hAnsi="Verdana" w:cs="Times New Roman"/>
          <w:lang w:eastAsia="nl-BE"/>
        </w:rPr>
        <w:t>afsplitsbaar</w:t>
      </w:r>
      <w:proofErr w:type="spellEnd"/>
      <w:r w:rsidRPr="007B46EF">
        <w:rPr>
          <w:rFonts w:ascii="Verdana" w:eastAsia="Times New Roman" w:hAnsi="Verdana" w:cs="Times New Roman"/>
          <w:lang w:eastAsia="nl-BE"/>
        </w:rPr>
        <w:t xml:space="preserve"> onderdeel uitmaakt als vermeld in artikel 2, 1°, van het decreet van </w:t>
      </w:r>
      <w:r w:rsidRPr="007B46EF">
        <w:rPr>
          <w:rFonts w:ascii="Verdana" w:eastAsia="Times New Roman" w:hAnsi="Verdana" w:cs="Times New Roman"/>
          <w:lang w:eastAsia="nl-BE"/>
        </w:rPr>
        <w:lastRenderedPageBreak/>
        <w:t>19 april 1995 houdende maatregelen ter bestrijding en voorkoming van leegstand en verwaarlozing van bedrijfsruimten.</w:t>
      </w:r>
    </w:p>
    <w:p w14:paraId="25798B1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3.21. (01/01/2021- ...) </w:t>
      </w:r>
    </w:p>
    <w:p w14:paraId="42D97F8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De inventarisbeheerder betekent de opname in de inventaris met een registratieattest aan de houders van het zakelijk recht, zoals bekend bij de Federale Overheidsdienst Financiën, dienst Patrimoniumdocumentatie, van het geïnventariseerde goed. De Vlaamse Regering bepaalt de nadere regels met betrekking tot de vorm, de inhoud en het gebruik van het registratieattest.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Voor de woningen, vermeld in artikel 3.19, §1, 1°, geldt een besluit als vermeld in artikel 3.20, eerste lid, als registratieattest. Het voormelde besluit vermeldt de opname in de inventaris. Tegen dat besluit en de registratie kan bij de Vlaamse Regering beroep aangetekend worden conform artikel 3.14.</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Voor de woningen, vermeld in artikel 3.19, §1, 2°, bezorgt de inventarisbeheerder het registratieattest aan de houder van het zakelijk recht binnen dertig dagen na de ontvangst van het besluit tot onbewoonbaarverklaring.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houder van het zakelijk recht aantoont dat hij tegen het besluit tot onbewoonbaarverklaring een klacht heeft ingediend bij de toezichthoudende overheid conform artikel 331 van het decreet van 22 december 2017 over het lokaal bestuur, dan wordt de opname op de lijst, vermeld in artikel 3.19, geschorst tot de procedure conform artikel 332 tot en met 334 van het decreet over het lokaal bestuur volledig is afgerond.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gemeenteoverheid brengt de inventarisbeheerder op de hoogte van het besluit of van het definitieve antwoord van de toezichthoudende overheid, vermeld in artikel 333 van het decreet van 22 december 2017 over het lokaal bestuur.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Binnen dertig dagen nadat de indiener van de klacht het definitieve antwoord van de toezichthoudende overheid heeft ontvangen conform artikel 333 van het decreet van 22 december 2017 over het lokaal bestuur, kan hij tegen de registratie beroep indienen bij de Vlaamse Regering. De Vlaamse Regering neemt een beslissing binnen drie maanden na de ontvangst van het beroepschrift. Als er binnen die termijn geen beslissing wordt genomen, wordt het beroep geacht te zijn afgewezen.</w:t>
      </w:r>
    </w:p>
    <w:p w14:paraId="2CFDD17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3.22. (01/01/2021- ...) </w:t>
      </w:r>
    </w:p>
    <w:p w14:paraId="20593B9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instrumenterende ambtenaar die belast is met de overdracht van een zakelijk recht als vermeld in artikel 2.5.2.0.1, eerste lid, van de Vlaamse Codex Fiscaliteit van 13 december 2013, brengt de verkrijger van het zakelijk recht uiterlijk op het ogenblik van de overdracht van het zakelijk recht op de hoogte van de kennisgeving van de vaststelling tot ongeschiktheid of onbewoonbaarheid ervan of van de opname van de woning in de inventaris.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Een door beide partijen ingevuld en ondertekend formulier wordt door de notaris </w:t>
      </w:r>
      <w:r w:rsidRPr="007B46EF">
        <w:rPr>
          <w:rFonts w:ascii="Verdana" w:eastAsia="Times New Roman" w:hAnsi="Verdana" w:cs="Times New Roman"/>
          <w:lang w:eastAsia="nl-BE"/>
        </w:rPr>
        <w:lastRenderedPageBreak/>
        <w:t>of een partij uiterlijk dertig dagen na de overdracht van het zakelijk recht naar de inventarisbeheerder verstuurd.</w:t>
      </w:r>
    </w:p>
    <w:p w14:paraId="1A4ED6C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3.23. (01/01/2021- ...) </w:t>
      </w:r>
    </w:p>
    <w:p w14:paraId="5D929DD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De inventarisbeheerder schrapt een woning uit de lijst, vermeld in artikel 3.19, §1, 1°, op aangetekend verzoek van de houder van het zakelijk recht of zijn rechtsopvolger zodra hij bewijst dat de woning weer conform is.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woning gesloopt is of een andere bestemming heeft gekregen, schrapt de inventarisbeheerder de woning op basis van het besluit van de burgemeester tot opheffing van de ongeschikt- of onbewoonbaarverklaring of op basis van het in artikel 3.46, derde lid, vermelde proces-verbaal van uitvoering waarin de sloop of herbestemming wordt vastgesteld.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Met behoud van de toepassing van artikel 3.46, derde lid, wordt het bewijs, vermeld in het eerste lid, geleverd conform artikel 3.6.</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De inventarisbeheerder schrapt een woning uit de lijst, vermeld in artikel 3.19, §1, 2°, op verzoek per beveiligde zending, van de houder van het zakelijk recht of zijn rechtsopvolger, zodra hij bewijst dat de burgemeester het onbewoonbaarheidsbesluit heeft opgeheven of het bewijs, vermeld in paragraaf 1, eerste lid, levert.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De inventarisbeheerder brengt de houder van het zakelijk recht, of in voorkomend geval zijn rechtsopvolger, binnen drie maanden na het verzoek tot schrapping op de hoogte van de beslissing daarover.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kennisgeving, vermeld in het eerste lid, niet is gebeurd binnen de vastgestelde termijn, wordt het verzoek tot schrapping geacht te zijn ingewilligd.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§4. In de gevallen, vermeld in paragraaf 1, eerste lid, vermeldt de inventarisbeheerder als datum van schrapping de eerste dag waarop de woning weer conform is.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In de gevallen, vermeld in paragraaf 1, tweede lid, vermeldt de inventarisbeheerder als datum van schrapping de eerste dag van de sloop of herbestemming.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In de gevallen, vermeld in paragraaf 2, vermeldt de inventarisbeheerder als datum van schrapping de datum van het opheffingsbesluit van de burgemeester of de eerste dag waarop de woning conform is.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kennisgeving, vermeld in paragraaf 3, niet is gebeurd binnen de vastgestelde termijn, wordt de datum van herstel die de houder van het zakelijk recht in het verzoek tot schrapping aangeeft, als datum van schrapping vermeld.</w:t>
      </w:r>
    </w:p>
    <w:p w14:paraId="5CBDD2CA"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 xml:space="preserve">Deel 6. </w:t>
      </w:r>
      <w:proofErr w:type="spellStart"/>
      <w:r w:rsidRPr="007B46EF">
        <w:rPr>
          <w:rFonts w:ascii="Verdana" w:eastAsia="Times New Roman" w:hAnsi="Verdana" w:cs="Times New Roman"/>
          <w:b/>
          <w:bCs/>
          <w:lang w:eastAsia="nl-BE"/>
        </w:rPr>
        <w:t>Overbewoondverklaring</w:t>
      </w:r>
      <w:proofErr w:type="spellEnd"/>
      <w:r w:rsidRPr="007B46EF">
        <w:rPr>
          <w:rFonts w:ascii="Verdana" w:eastAsia="Times New Roman" w:hAnsi="Verdana" w:cs="Times New Roman"/>
          <w:b/>
          <w:bCs/>
          <w:lang w:eastAsia="nl-BE"/>
        </w:rPr>
        <w:t xml:space="preserve"> </w:t>
      </w:r>
    </w:p>
    <w:p w14:paraId="794C642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3.24. (01/01/2021- ...) </w:t>
      </w:r>
    </w:p>
    <w:p w14:paraId="02AA0A2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lastRenderedPageBreak/>
        <w:t xml:space="preserve">Als een woning na een conformiteitsonderzoek </w:t>
      </w:r>
      <w:proofErr w:type="spellStart"/>
      <w:r w:rsidRPr="007B46EF">
        <w:rPr>
          <w:rFonts w:ascii="Verdana" w:eastAsia="Times New Roman" w:hAnsi="Verdana" w:cs="Times New Roman"/>
          <w:lang w:eastAsia="nl-BE"/>
        </w:rPr>
        <w:t>overbewoond</w:t>
      </w:r>
      <w:proofErr w:type="spellEnd"/>
      <w:r w:rsidRPr="007B46EF">
        <w:rPr>
          <w:rFonts w:ascii="Verdana" w:eastAsia="Times New Roman" w:hAnsi="Verdana" w:cs="Times New Roman"/>
          <w:lang w:eastAsia="nl-BE"/>
        </w:rPr>
        <w:t xml:space="preserve"> blijkt te zijn, kan de burgemeester ze, op eigen initiatief of op verzoek van de voorzitter van de raad voor maatschappelijk welzijn, van de gewestelijk ambtenaar of van de wooninspecteur, bij besluit </w:t>
      </w:r>
      <w:proofErr w:type="spellStart"/>
      <w:r w:rsidRPr="007B46EF">
        <w:rPr>
          <w:rFonts w:ascii="Verdana" w:eastAsia="Times New Roman" w:hAnsi="Verdana" w:cs="Times New Roman"/>
          <w:lang w:eastAsia="nl-BE"/>
        </w:rPr>
        <w:t>overbewoond</w:t>
      </w:r>
      <w:proofErr w:type="spellEnd"/>
      <w:r w:rsidRPr="007B46EF">
        <w:rPr>
          <w:rFonts w:ascii="Verdana" w:eastAsia="Times New Roman" w:hAnsi="Verdana" w:cs="Times New Roman"/>
          <w:lang w:eastAsia="nl-BE"/>
        </w:rPr>
        <w:t xml:space="preserve"> verklaren, op voorwaarde dat de gewestelijk ambtenaar de </w:t>
      </w:r>
      <w:proofErr w:type="spellStart"/>
      <w:r w:rsidRPr="007B46EF">
        <w:rPr>
          <w:rFonts w:ascii="Verdana" w:eastAsia="Times New Roman" w:hAnsi="Verdana" w:cs="Times New Roman"/>
          <w:lang w:eastAsia="nl-BE"/>
        </w:rPr>
        <w:t>overbewoondverklaring</w:t>
      </w:r>
      <w:proofErr w:type="spellEnd"/>
      <w:r w:rsidRPr="007B46EF">
        <w:rPr>
          <w:rFonts w:ascii="Verdana" w:eastAsia="Times New Roman" w:hAnsi="Verdana" w:cs="Times New Roman"/>
          <w:lang w:eastAsia="nl-BE"/>
        </w:rPr>
        <w:t xml:space="preserve"> heeft geadviseerd.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De burgemeester neemt de nodige maatregelen om de </w:t>
      </w:r>
      <w:proofErr w:type="spellStart"/>
      <w:r w:rsidRPr="007B46EF">
        <w:rPr>
          <w:rFonts w:ascii="Verdana" w:eastAsia="Times New Roman" w:hAnsi="Verdana" w:cs="Times New Roman"/>
          <w:lang w:eastAsia="nl-BE"/>
        </w:rPr>
        <w:t>overbewoning</w:t>
      </w:r>
      <w:proofErr w:type="spellEnd"/>
      <w:r w:rsidRPr="007B46EF">
        <w:rPr>
          <w:rFonts w:ascii="Verdana" w:eastAsia="Times New Roman" w:hAnsi="Verdana" w:cs="Times New Roman"/>
          <w:lang w:eastAsia="nl-BE"/>
        </w:rPr>
        <w:t xml:space="preserve"> ongedaan te maken door één of meer bewoners te herhuisvesten zoals bepaald in deel 8 van dit boek.</w:t>
      </w:r>
    </w:p>
    <w:p w14:paraId="50551F3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3.25. (01/01/2021- ...) </w:t>
      </w:r>
    </w:p>
    <w:p w14:paraId="6C9B43AB"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burgemeester neemt een beslissing binnen drie maanden na de ontvangst van het verzoek, vermeld in artikel 3.24, eerste lid. Hij mag voorbijgaan aan de adviesvereiste, vermeld in artikel 3.24, eerste lid, als de gewestelijk ambtenaar geen advies uitgebracht heeft binnen 75 dagen na de ontvangst van de adviesvraag en zolang hij niet in kennis gesteld is van een advies dat uitgebracht is na die termijn.</w:t>
      </w:r>
    </w:p>
    <w:p w14:paraId="1B7FDAE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3.26. (20/09/2021- ...) </w:t>
      </w:r>
    </w:p>
    <w:p w14:paraId="0BA2A4CA" w14:textId="0740ABDE"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Tegen de beslissing van de burgemeester, vermeld in artikel 3.25, kan binnen dertig dagen na de betekening van de beslissing beroep aangetekend worden bij de Vlaamse Regering. Bij de kennisgeving van de ontvankelijkheid van het beroep nodigt de Vlaamse Regering de houder van het zakelijk recht, de bewoner en de burgemeester uit om hun argumenten schriftelijk kenbaar te maken.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voegt alle tijdig ingestelde beroepen tegen dezelfde beslissing verplicht samen. Alle betrokken partijen worden onverwijld in kennis gesteld van de samenvoeging.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neemt een beslissing binnen drie maanden na de ontvangst van het laatst ingestelde beroep. Als er geen beslissing genomen wordt binnen de termijn van drie maanden, wordt het beroep geacht afgewezen te zijn.</w:t>
      </w:r>
    </w:p>
    <w:p w14:paraId="79988D1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3.27. (20/09/2021- ...) </w:t>
      </w:r>
    </w:p>
    <w:p w14:paraId="689BF6A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Als de burgemeester geen beslissing neemt, kunnen de verzoeker en de overige instanties, vermeld in artikel 3.24, eerste lid, beroep aantekenen bij de Vlaamse Regering binnen twaalf maanden na het verstrijken van de termijn van drie maanden, vermeld in artikel 3.25. De Vlaamse Regering nodigt de houder van het zakelijk recht en de bewoner uit om hun argumenten schriftelijk kenbaar te maken en brengt de burgemeester op de hoogte van het beroep en van het verval van zijn beslissingsbevoegdheid.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neemt een beslissing binnen drie maanden na de ontvangst van het beroep tegen het stilzitten van de burgemeester. Als er geen beslissing genomen wordt binnen de termijn van drie maanden, wordt het beroep geacht afgewezen te zijn.</w:t>
      </w:r>
    </w:p>
    <w:p w14:paraId="0DBC0A8F" w14:textId="77777777" w:rsidR="007B46EF" w:rsidRPr="006A74E8" w:rsidRDefault="007B46EF" w:rsidP="007B46EF">
      <w:pPr>
        <w:spacing w:before="100" w:beforeAutospacing="1" w:after="100" w:afterAutospacing="1" w:line="240" w:lineRule="auto"/>
        <w:rPr>
          <w:rFonts w:ascii="Verdana" w:eastAsia="Times New Roman" w:hAnsi="Verdana" w:cs="Times New Roman"/>
          <w:lang w:eastAsia="nl-BE"/>
        </w:rPr>
      </w:pPr>
    </w:p>
    <w:p w14:paraId="1C3ABE12" w14:textId="77777777" w:rsidR="007B46EF" w:rsidRPr="006A74E8" w:rsidRDefault="007B46EF" w:rsidP="007B46EF">
      <w:pPr>
        <w:spacing w:before="100" w:beforeAutospacing="1" w:after="100" w:afterAutospacing="1" w:line="240" w:lineRule="auto"/>
        <w:rPr>
          <w:rFonts w:ascii="Verdana" w:eastAsia="Times New Roman" w:hAnsi="Verdana" w:cs="Times New Roman"/>
          <w:lang w:eastAsia="nl-BE"/>
        </w:rPr>
      </w:pPr>
    </w:p>
    <w:p w14:paraId="42513B41" w14:textId="01EDD616"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3.28. (01/01/2021- ...) </w:t>
      </w:r>
    </w:p>
    <w:p w14:paraId="415B125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De Vlaamse Regering kan in beroep zelf het besluit nemen om de woning </w:t>
      </w:r>
      <w:proofErr w:type="spellStart"/>
      <w:r w:rsidRPr="007B46EF">
        <w:rPr>
          <w:rFonts w:ascii="Verdana" w:eastAsia="Times New Roman" w:hAnsi="Verdana" w:cs="Times New Roman"/>
          <w:lang w:eastAsia="nl-BE"/>
        </w:rPr>
        <w:t>overbewoond</w:t>
      </w:r>
      <w:proofErr w:type="spellEnd"/>
      <w:r w:rsidRPr="007B46EF">
        <w:rPr>
          <w:rFonts w:ascii="Verdana" w:eastAsia="Times New Roman" w:hAnsi="Verdana" w:cs="Times New Roman"/>
          <w:lang w:eastAsia="nl-BE"/>
        </w:rPr>
        <w:t xml:space="preserve"> te verklaren en de nodige maatregelen bevelen. In dat geval zijn de bepalingen van artikel 3.16, tweede lid, van toepassing.</w:t>
      </w:r>
    </w:p>
    <w:p w14:paraId="5DDC6D4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3.29. (01/01/2021- ...) </w:t>
      </w:r>
    </w:p>
    <w:p w14:paraId="6C580691"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De Vlaamse Regering kan nadere formele en procedurele regels bepalen voor de toepassing van dit deel. Ze kan de vrijstelling, vermeld in artikel 3.12, §3 uitbreiden tot het advies van de gewestelijk ambtenaar over de </w:t>
      </w:r>
      <w:proofErr w:type="spellStart"/>
      <w:r w:rsidRPr="007B46EF">
        <w:rPr>
          <w:rFonts w:ascii="Verdana" w:eastAsia="Times New Roman" w:hAnsi="Verdana" w:cs="Times New Roman"/>
          <w:lang w:eastAsia="nl-BE"/>
        </w:rPr>
        <w:t>overbewoondverklaring</w:t>
      </w:r>
      <w:proofErr w:type="spellEnd"/>
      <w:r w:rsidRPr="007B46EF">
        <w:rPr>
          <w:rFonts w:ascii="Verdana" w:eastAsia="Times New Roman" w:hAnsi="Verdana" w:cs="Times New Roman"/>
          <w:lang w:eastAsia="nl-BE"/>
        </w:rPr>
        <w:t>.</w:t>
      </w:r>
    </w:p>
    <w:p w14:paraId="0800CC1C"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7. Herstel en sloop</w:t>
      </w:r>
    </w:p>
    <w:p w14:paraId="21A3032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3.30. (01/01/2021- ...) </w:t>
      </w:r>
    </w:p>
    <w:p w14:paraId="05BC8C6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§1. Als de woning, die ongeschikt of onbewoonbaar werd verklaard of waarvoor de afgifte van een conformiteitsattest werd geweigerd, volgens de bevindingen van het conformiteitsonderzoek dat verloopt volgens de procedure, vermeld in artikel 3.3, in aanmerking komt voor renovatie-, verbeterings- of aanpassingswerkzaamheden, dan moeten die door de houder van het zakelijk recht worden uitgevoerd. </w:t>
      </w:r>
      <w:r w:rsidRPr="007B46EF">
        <w:rPr>
          <w:rFonts w:ascii="Verdana" w:eastAsia="Times New Roman" w:hAnsi="Verdana" w:cs="Times New Roman"/>
          <w:lang w:eastAsia="nl-BE"/>
        </w:rPr>
        <w:br/>
      </w:r>
      <w:r w:rsidRPr="007B46EF">
        <w:rPr>
          <w:rFonts w:ascii="Verdana" w:eastAsia="Times New Roman" w:hAnsi="Verdana" w:cs="Times New Roman"/>
          <w:lang w:eastAsia="nl-BE"/>
        </w:rPr>
        <w:br/>
        <w:t>Voor de renovatie-, verbeterings- of aanpassingswerkzaamheden kan onder de gestelde voorwaarden een tegemoetkoming worden verleend zoals bedoeld in artikel 5.75.</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De gemeente, het OCMW of een sociale woonorganisatie, uitgezonderd een huurdersbond, kunnen de werkzaamheden uitvoeren, voor zover ze contractueel een zakelijk recht op de woning verkrijgen of ze de woning voor minstens negen jaar huren. In dat laatste geval mag de huurprijs van de woning niet hoger zijn dan een bedrag dat wordt berekend op grond van de objectieve criteria, vastgesteld door de Vlaamse Regering, waarbij er rekening wordt gehouden met de slechte staat van de woning.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initiatiefnemer moet de bewoners van de woning, die voldoen aan de door de Vlaamse Regering vastgestelde voorwaarden, herhuisvesten.</w:t>
      </w:r>
    </w:p>
    <w:p w14:paraId="2D62AC0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3.31. (01/01/2021- ...) </w:t>
      </w:r>
    </w:p>
    <w:p w14:paraId="3D6E37E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Als de woning die ongeschikt of onbewoonbaar werd verklaard of waarvoor de afgifte van een conformiteitsattest werd geweigerd, volgens de bevindingen van het conformiteitsonderzoek dat verloopt volgens de procedure, vermeld in artikel 3.3, niet in aanmerking komt voor renovatie-, verbeterings- of aanpassingswerkzaamheden, dan moet de eigenaar binnen een termijn die de Vlaamse Regering bepaalt hetzij aan de woning een andere bestemming geven volgens de bepalingen van de Vlaamse Codex Ruimtelijke Ordening van 15 mei </w:t>
      </w:r>
      <w:r w:rsidRPr="007B46EF">
        <w:rPr>
          <w:rFonts w:ascii="Verdana" w:eastAsia="Times New Roman" w:hAnsi="Verdana" w:cs="Times New Roman"/>
          <w:lang w:eastAsia="nl-BE"/>
        </w:rPr>
        <w:lastRenderedPageBreak/>
        <w:t>2009 hetzij de woning slopen, tenzij de sloop verboden is op grond van wettelijke, decretale of reglementaire bepalingen.</w:t>
      </w:r>
    </w:p>
    <w:p w14:paraId="4863449A"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8. Herhuisvesting</w:t>
      </w:r>
    </w:p>
    <w:p w14:paraId="234B9DD1"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3.32. (01/01/2021- ...) </w:t>
      </w:r>
    </w:p>
    <w:p w14:paraId="26F2148C"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Als de bewoners van een onbewoonbare of </w:t>
      </w:r>
      <w:proofErr w:type="spellStart"/>
      <w:r w:rsidRPr="007B46EF">
        <w:rPr>
          <w:rFonts w:ascii="Verdana" w:eastAsia="Times New Roman" w:hAnsi="Verdana" w:cs="Times New Roman"/>
          <w:lang w:eastAsia="nl-BE"/>
        </w:rPr>
        <w:t>overbewoonde</w:t>
      </w:r>
      <w:proofErr w:type="spellEnd"/>
      <w:r w:rsidRPr="007B46EF">
        <w:rPr>
          <w:rFonts w:ascii="Verdana" w:eastAsia="Times New Roman" w:hAnsi="Verdana" w:cs="Times New Roman"/>
          <w:lang w:eastAsia="nl-BE"/>
        </w:rPr>
        <w:t xml:space="preserve"> woning of van een goed als vermeld in artikel 3.35, geherhuisvest moeten worden omdat dit noodzakelijk is wegens mensonwaardige levensomstandigheden ernstige risico's voor hun veiligheid en gezondheid en de bepalingen van artikel 3.30, §2, niet toegepast kunnen worden, neemt de burgemeester de nodige maatregelen voor de bewoners die voldoen aan de voorwaarden die de Vlaamse Regering vaststelt. Hij kan daarbij onder meer de gemeentelijke huisvestingsmogelijkheden benutten of een beroep doen op de medewerking van het OCMW of van de sociale woonorganisaties, waarvan het werkingsgebied zich uitstrekt tot het grondgebied van de gemeente.</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binnen de kredieten die daartoe ingeschreven worden op de begroting van het Vlaamse Gewest en onder de voorwaarden die ze bepaalt, initiatieven nemen om de ontwikkeling van gemeentelijke herhuisvestingsmogelijkheden aan te moedigen of te ondersteunen.</w:t>
      </w:r>
    </w:p>
    <w:p w14:paraId="300B0C7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3.33. (20/09/2021- ...) </w:t>
      </w:r>
    </w:p>
    <w:p w14:paraId="2766BF0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Als de burgemeester overgaat tot herhuisvesting van de bewoners van een onbewoonbare of </w:t>
      </w:r>
      <w:proofErr w:type="spellStart"/>
      <w:r w:rsidRPr="007B46EF">
        <w:rPr>
          <w:rFonts w:ascii="Verdana" w:eastAsia="Times New Roman" w:hAnsi="Verdana" w:cs="Times New Roman"/>
          <w:lang w:eastAsia="nl-BE"/>
        </w:rPr>
        <w:t>overbewoonde</w:t>
      </w:r>
      <w:proofErr w:type="spellEnd"/>
      <w:r w:rsidRPr="007B46EF">
        <w:rPr>
          <w:rFonts w:ascii="Verdana" w:eastAsia="Times New Roman" w:hAnsi="Verdana" w:cs="Times New Roman"/>
          <w:lang w:eastAsia="nl-BE"/>
        </w:rPr>
        <w:t xml:space="preserve"> woning of van een goed als vermeld in artikel 3.35, kan de gemeente onder meer de volgende kosten terugvorderen van de verhuurder of de persoon die de woning ter beschikking heeft gesteld:</w:t>
      </w:r>
      <w:r w:rsidRPr="007B46EF">
        <w:rPr>
          <w:rFonts w:ascii="Verdana" w:eastAsia="Times New Roman" w:hAnsi="Verdana" w:cs="Times New Roman"/>
          <w:lang w:eastAsia="nl-BE"/>
        </w:rPr>
        <w:br/>
        <w:t>1° de kosten om de woning te ontruimen;</w:t>
      </w:r>
      <w:r w:rsidRPr="007B46EF">
        <w:rPr>
          <w:rFonts w:ascii="Verdana" w:eastAsia="Times New Roman" w:hAnsi="Verdana" w:cs="Times New Roman"/>
          <w:lang w:eastAsia="nl-BE"/>
        </w:rPr>
        <w:br/>
        <w:t>2° de kosten voor het vervoer en de opslag van het meubilair en de goederen van de bewoners;</w:t>
      </w:r>
      <w:r w:rsidRPr="007B46EF">
        <w:rPr>
          <w:rFonts w:ascii="Verdana" w:eastAsia="Times New Roman" w:hAnsi="Verdana" w:cs="Times New Roman"/>
          <w:lang w:eastAsia="nl-BE"/>
        </w:rPr>
        <w:br/>
        <w:t>3° de installatiekosten met betrekking tot de nieuw te betrekken woning;</w:t>
      </w:r>
      <w:r w:rsidRPr="007B46EF">
        <w:rPr>
          <w:rFonts w:ascii="Verdana" w:eastAsia="Times New Roman" w:hAnsi="Verdana" w:cs="Times New Roman"/>
          <w:lang w:eastAsia="nl-BE"/>
        </w:rPr>
        <w:br/>
        <w:t>4° het verschil tussen de kosten per maand van de woning, vermeld in punt 3°, of van het verblijf in een daartoe uitgeruste voorziening, en 20% van het maandelijkse beschikbare inkomen van de bewoner.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Het verschil, vermeld in het eerste lid, 4°, kan teruggevorderd worden voor een periode van maximaal een jaar.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Als de gemeente daartoe een samenwerkingsovereenkomst sluit met de Vlaamse Regering, kan de Vlaamse Regering de kosten, vermeld in het eerste lid, laten </w:t>
      </w:r>
      <w:proofErr w:type="spellStart"/>
      <w:r w:rsidRPr="007B46EF">
        <w:rPr>
          <w:rFonts w:ascii="Verdana" w:eastAsia="Times New Roman" w:hAnsi="Verdana" w:cs="Times New Roman"/>
          <w:lang w:eastAsia="nl-BE"/>
        </w:rPr>
        <w:t>prefinancieren</w:t>
      </w:r>
      <w:proofErr w:type="spellEnd"/>
      <w:r w:rsidRPr="007B46EF">
        <w:rPr>
          <w:rFonts w:ascii="Verdana" w:eastAsia="Times New Roman" w:hAnsi="Verdana" w:cs="Times New Roman"/>
          <w:lang w:eastAsia="nl-BE"/>
        </w:rPr>
        <w:t xml:space="preserve"> door het Vlaamse Gewest. In dat geval treedt het Vlaamse Gewest voor de </w:t>
      </w:r>
      <w:proofErr w:type="spellStart"/>
      <w:r w:rsidRPr="007B46EF">
        <w:rPr>
          <w:rFonts w:ascii="Verdana" w:eastAsia="Times New Roman" w:hAnsi="Verdana" w:cs="Times New Roman"/>
          <w:lang w:eastAsia="nl-BE"/>
        </w:rPr>
        <w:t>geprefinancierde</w:t>
      </w:r>
      <w:proofErr w:type="spellEnd"/>
      <w:r w:rsidRPr="007B46EF">
        <w:rPr>
          <w:rFonts w:ascii="Verdana" w:eastAsia="Times New Roman" w:hAnsi="Verdana" w:cs="Times New Roman"/>
          <w:lang w:eastAsia="nl-BE"/>
        </w:rPr>
        <w:t xml:space="preserve"> kosten in alle rechten die de gemeente heeft ten aanzien van de schuldenaar. De eventuele invordering gebeurt met een dwangbevel dat opgesteld, geviseerd en uitvoerbaar verklaard wordt door de ambtenaren die aangewezen zijn met toepassing van artikel 5.4.</w:t>
      </w:r>
    </w:p>
    <w:p w14:paraId="2BBAB866"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9. Strafrechtelijke handhaving</w:t>
      </w:r>
    </w:p>
    <w:p w14:paraId="3540E085" w14:textId="77777777" w:rsidR="007B46EF" w:rsidRPr="007B46EF" w:rsidRDefault="007B46EF" w:rsidP="007B46EF">
      <w:pPr>
        <w:spacing w:before="100" w:beforeAutospacing="1" w:after="100" w:afterAutospacing="1" w:line="240" w:lineRule="auto"/>
        <w:outlineLvl w:val="2"/>
        <w:rPr>
          <w:rFonts w:ascii="Verdana" w:eastAsia="Times New Roman" w:hAnsi="Verdana" w:cs="Times New Roman"/>
          <w:b/>
          <w:bCs/>
          <w:lang w:eastAsia="nl-BE"/>
        </w:rPr>
      </w:pPr>
      <w:r w:rsidRPr="007B46EF">
        <w:rPr>
          <w:rFonts w:ascii="Verdana" w:eastAsia="Times New Roman" w:hAnsi="Verdana" w:cs="Times New Roman"/>
          <w:b/>
          <w:bCs/>
          <w:lang w:eastAsia="nl-BE"/>
        </w:rPr>
        <w:t>Titel 1. Straffen</w:t>
      </w:r>
    </w:p>
    <w:p w14:paraId="14F2226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lastRenderedPageBreak/>
        <w:t xml:space="preserve">Artikel 3.34. (01/01/2021- ...) </w:t>
      </w:r>
    </w:p>
    <w:p w14:paraId="281E022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Als een niet-conforme of </w:t>
      </w:r>
      <w:proofErr w:type="spellStart"/>
      <w:r w:rsidRPr="007B46EF">
        <w:rPr>
          <w:rFonts w:ascii="Verdana" w:eastAsia="Times New Roman" w:hAnsi="Verdana" w:cs="Times New Roman"/>
          <w:lang w:eastAsia="nl-BE"/>
        </w:rPr>
        <w:t>overbewoonde</w:t>
      </w:r>
      <w:proofErr w:type="spellEnd"/>
      <w:r w:rsidRPr="007B46EF">
        <w:rPr>
          <w:rFonts w:ascii="Verdana" w:eastAsia="Times New Roman" w:hAnsi="Verdana" w:cs="Times New Roman"/>
          <w:lang w:eastAsia="nl-BE"/>
        </w:rPr>
        <w:t xml:space="preserve"> woning rechtstreeks of via tussenpersoon wordt verhuurd, te huur gesteld of ter beschikking gesteld met het oog op bewoning, wordt de verhuurder, de eventuele onderverhuurder of diegene die de woning ter beschikking stelt, gestraft met een gevangenisstraf van zes maanden tot drie jaar en een geldboete van 500 tot 25.000 euro of met een van die straffen alleen.</w:t>
      </w:r>
    </w:p>
    <w:p w14:paraId="2245C2B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3.35. (01/01/2021- ...) </w:t>
      </w:r>
    </w:p>
    <w:p w14:paraId="694B24C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Wanneer een roerend of een onroerend goed dat niet hoofdzakelijk voor wonen bestemd is, rechtstreeks of via een tussenpersoon wordt verhuurd, te huur gesteld of ter beschikking gesteld met het oog op bewoning terwijl dit goed gebreken vertoont die een veiligheids- of gezondheidsrisico inhouden of terwijl in dit goed de basisnutsvoorzieningén zoals elektriciteit, sanitair, kookgelegenheid en verwarmingsmogelijkheid ontbreken of niet behoorlijk functioneren, wordt de verhuurder, de eventuele onderverhuurder of diegene die dat roerend of onroerend goed ter beschikking stelt, gestraft met een gevangenisstraf van zes maanden tot drie jaar en een geldboete van 500 tot 25.000 euro of met een van die straffen alleen.</w:t>
      </w:r>
    </w:p>
    <w:p w14:paraId="02CE67F2"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3.36. (01/01/2021- ...) </w:t>
      </w:r>
    </w:p>
    <w:p w14:paraId="4376623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Het misdrijf, bedoeld in artikel 3.34 of 3.35, wordt gestraft met een geldboete van 1000 tot 100.000 euro en met een gevangenisstraf van één jaar tot vijf jaar of met een van die straffen alleen in volgende gevallen:</w:t>
      </w:r>
      <w:r w:rsidRPr="007B46EF">
        <w:rPr>
          <w:rFonts w:ascii="Verdana" w:eastAsia="Times New Roman" w:hAnsi="Verdana" w:cs="Times New Roman"/>
          <w:lang w:eastAsia="nl-BE"/>
        </w:rPr>
        <w:br/>
        <w:t>1° als van de betrokken activiteit een gewoonte wordt gemaakt,</w:t>
      </w:r>
      <w:r w:rsidRPr="007B46EF">
        <w:rPr>
          <w:rFonts w:ascii="Verdana" w:eastAsia="Times New Roman" w:hAnsi="Verdana" w:cs="Times New Roman"/>
          <w:lang w:eastAsia="nl-BE"/>
        </w:rPr>
        <w:br/>
        <w:t>2° als het een daad van deelneming aan de hoofd- of bijkomende bedrijvigheid van een vereniging betreft, ongeacht of de schuldige de hoedanigheid van leidend persoon heeft.</w:t>
      </w:r>
    </w:p>
    <w:p w14:paraId="2FA3A84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3.37. (01/01/2021- 31/12/2022) </w:t>
      </w:r>
    </w:p>
    <w:p w14:paraId="758AE68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Onverminderd de bevoegdheden van de agenten en de officieren van gerechtelijke politie zijn de ambtenaren die door de Vlaamse Regering aangewezen zijn als wooninspecteur of als ambtenaar met opsporings- en vaststellingsbevoegdheid, bevoegd om de wanbedrijven, vermeld in deze titel, op te sporen en vast te stellen in een proces-verbaal. De wooninspecteurs krijgen voor de uitoefening van die bevoegdheid de hoedanigheid van officier van gerechtelijke politie en hulpofficier van de procureur des Konings.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wooninspecteur deelt aan de burgemeester en de gewestelijke ambtenaar mee voor welke woningen een proces-verbaal werd opgesteld.</w:t>
      </w:r>
    </w:p>
    <w:p w14:paraId="6CBBD6A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3.38. (01/01/2021- 31/12/2022) </w:t>
      </w:r>
    </w:p>
    <w:p w14:paraId="7D27F69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agenten, officieren van gerechtelijke politie en ambtenaren, vermeld in artikel 3.37, hebben toegang tot de bouwplaatsen en de gebouwen om alle nodige opsporingen en vaststellingen te verrichten.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r>
      <w:r w:rsidRPr="007B46EF">
        <w:rPr>
          <w:rFonts w:ascii="Verdana" w:eastAsia="Times New Roman" w:hAnsi="Verdana" w:cs="Times New Roman"/>
          <w:lang w:eastAsia="nl-BE"/>
        </w:rPr>
        <w:lastRenderedPageBreak/>
        <w:t>Als de verrichtingen de kenmerken van een huiszoeking dragen, mogen ze alleen uitgevoerd worden op voorwaarde dat de politierechter daartoe een machtiging heeft verstrekt.</w:t>
      </w:r>
    </w:p>
    <w:p w14:paraId="012B611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3.39. (01/01/2021- 31/12/2022) </w:t>
      </w:r>
    </w:p>
    <w:p w14:paraId="1D13F9B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Met behoud van de toepassing van de regelgeving inzake de bescherming van natuurlijke personen bij de verwerking van persoonsgegevens die van toepassing is bij de mededeling van persoonsgegevens, zoals ze in voorkomend geval op federaal of Vlaams niveau verder is of wordt gespecificeerd, kan de wooninspecteur, vermeld in artikel 3.37, in het kader van een onderzoek naar effectieve bewoning met het oog op de vaststelling van de misdrijven, vermeld in deze titel, de verbruiksgegevens van water, elektriciteit en gas opvragen bij de nutsbedrijven of de distributienetbeheerders.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nutsbedrijven of de distributienetbeheerders moeten de verbruiksgegevens binnen een termijn van 14 dagen na ontvangst van de aanvraag aan de wooninspecteur bezorgen.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de wijze bepalen waarop de wooninspecteur de verbruiksgegevens kan opvragen en de manier waarop de gegevens moeten worden bezorgd.</w:t>
      </w:r>
    </w:p>
    <w:p w14:paraId="04904E3A" w14:textId="77777777" w:rsidR="007B46EF" w:rsidRPr="006A74E8" w:rsidRDefault="007B46EF" w:rsidP="007B46EF">
      <w:pPr>
        <w:spacing w:before="100" w:beforeAutospacing="1" w:after="100" w:afterAutospacing="1" w:line="240" w:lineRule="auto"/>
        <w:rPr>
          <w:rFonts w:ascii="Verdana" w:eastAsia="Times New Roman" w:hAnsi="Verdana" w:cs="Times New Roman"/>
          <w:lang w:eastAsia="nl-BE"/>
        </w:rPr>
      </w:pPr>
    </w:p>
    <w:p w14:paraId="225FDE50" w14:textId="149A753C"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3.40. (01/01/2021- 31/12/2022) </w:t>
      </w:r>
    </w:p>
    <w:p w14:paraId="209F9E5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Als ze het noodzakelijk achten, delen de wooninspecteurs, vermeld in artikel 3.37, de informatie die ze tijdens hun onderzoek hebben verkregen, mee aan alle ambtenaren die belast zijn met het toezicht op een andere wetgeving of met de toepassing van een andere wetgeving, als die informatie hen kan aanbelangen bij de uitoefening van het toezicht waarmee ze belast zijn of voor de toepassing van een andere wetgeving. De wooninspecteurs, vermeld in artikel 3.37, kunnen die informatie ook meedelen aan de sociale verhuurders, vermeld in artikel 1.3, §1, eerste lid, 49°, als ze dat noodzakelijk achten.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informatie die werd verkregen tijdens de uitoefening van plichten, voorgeschreven door de rechterlijke overheid, mag alleen worden meegedeeld met de uitdrukkelijke machtiging van de rechterlijke overheid.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ambtenaren die belast zijn met het toezicht op een andere wetgeving of met de toepassing van een andere wetgeving, en de sociale verhuurders, vermeld in artikel 1.3, §1, eerste lid, 49°, mogen de informatie, verkregen op grond van dit artikel, alleen gebruiken voor de uitoefening van alle opdrachten waarmee ze belast zijn.</w:t>
      </w:r>
    </w:p>
    <w:p w14:paraId="268A047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3.41. (01/01/2021- 31/12/2022) </w:t>
      </w:r>
    </w:p>
    <w:p w14:paraId="17D9033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Met behoud van de toepassing van artikel 44/1 van de wet van 5 augustus 1992 op het politieambt verstrekken alle diensten van het Vlaamse Gewest, de Vlaamse Gemeenschap, de provincies, de gemeenten, de verenigingen waartoe ze behoren, en de sociale verhuurders, vermeld in artikel 1.3, §1, eerste lid, 49°, </w:t>
      </w:r>
      <w:r w:rsidRPr="007B46EF">
        <w:rPr>
          <w:rFonts w:ascii="Verdana" w:eastAsia="Times New Roman" w:hAnsi="Verdana" w:cs="Times New Roman"/>
          <w:lang w:eastAsia="nl-BE"/>
        </w:rPr>
        <w:lastRenderedPageBreak/>
        <w:t>aan de wooninspecteurs, vermeld in artikel 3.37, op hun verzoek, alle informatie die de laatstgenoemden nuttig achten voor het toezicht op de naleving van de wetgeving waarmee ze belast zijn. Ze geven inzage in alle informatiedragers en verstrekken kopieën ervan in om het even welke vorm. De inlichtingen en kopieën worden kosteloos verstrekt.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inlichtingen en informatiedragers, verzameld tijdens de uitvoering van de taken die door de rechterlijke overheid zijn opgelegd, mogen alleen worden meegedeeld met de uitdrukkelijke machtiging van de rechterlijke overheid.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wooninspecteurs, vermeld in artikel 3.37, mogen de inlichtingen, verkregen op grond van dit artikel, alleen gebruiken voor de uitoefening van alle opdrachten met betrekking tot het toezicht waarmee ze belast zijn.</w:t>
      </w:r>
    </w:p>
    <w:p w14:paraId="7B5C6C1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3.42. (01/01/2021- 31/12/2022) </w:t>
      </w:r>
    </w:p>
    <w:p w14:paraId="55CB3163" w14:textId="2F15A8DD" w:rsidR="007B46EF" w:rsidRPr="006A74E8"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Met toepassing van artikel 23, lid 1, e) en h), van de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 kunnen de ambtenaren, vermeld in artikel 3.37 van deze codex, beslissen om de verplichtingen en de rechten, vermeld in artikel 12 tot en met 22 van de voormelde verordening, niet toe te passen bij de verwerkingen van persoonsgegevens in het kader van een onderzoek dat betrekking heeft op een welbepaalde natuurlijke persoon, als voldaan is aan de voorwaarden, vermeld in het tweede tot en met het tiende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afwijkingsmogelijkheid, vermeld in het eerste lid, geldt alleen gedurende de periode waarin de betrokkene het voorwerp uitmaakt van een controle, een onderzoek of de voorbereidende werkzaamheden die daarmee verband houden, in het kader van de decretale en reglementaire opdrachten van de ambtenaren, vermeld in artikel 3.37 van deze codex, op voorwaarde dat het voor het goede verloop van het onderzoek noodzakelijk is of kan zijn dat de verplichtingen en de rechten, vermeld in artikel 12 tot en met 22 van de voormelde verordening, niet worden toegepast. De duur van de voorbereidende werkzaamheden mag in voorkomend geval niet meer bedragen dan een jaar vanaf de ontvangst van een verzoek tot uitoefening van een van de rechten, vermeld in artikel 12 tot en met 22 van de voormelde verordening.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persoonsgegevens, vermeld in het eerste lid, worden niet langer bewaard dan nodig is voor de doeleinden waarvoor ze worden verwerkt.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afwijkingsmogelijkheid, vermeld in het eerste lid, heeft geen betrekking op de gegevens die losstaan van het voorwerp van het onderzoek dat of van de controle die de weigering of beperking van de rechten, vermeld in het eerste lid, rechtvaardigt.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betrokkene in het geval, vermeld in het eerste lid, tijdens de periode, vermeld in het tweede lid, een verzoek indient op basis van artikel 12 tot en met 22 van de voormelde verordening, bevestigt de bevoegde functionaris voor gegevensbescherming de ontvangst daarvan.</w:t>
      </w:r>
      <w:r w:rsidRPr="007B46EF">
        <w:rPr>
          <w:rFonts w:ascii="Verdana" w:eastAsia="Times New Roman" w:hAnsi="Verdana" w:cs="Times New Roman"/>
          <w:lang w:eastAsia="nl-BE"/>
        </w:rPr>
        <w:br/>
      </w:r>
      <w:r w:rsidRPr="007B46EF">
        <w:rPr>
          <w:rFonts w:ascii="Verdana" w:eastAsia="Times New Roman" w:hAnsi="Verdana" w:cs="Times New Roman"/>
          <w:lang w:eastAsia="nl-BE"/>
        </w:rPr>
        <w:lastRenderedPageBreak/>
        <w:br/>
        <w:t>De bevoegde functionaris voor gegevensbescherming brengt de betrokkene schriftelijk, zo snel mogelijk en in elk geval binnen een maand vanaf de dag die volgt op de dag waarop hij het verzoek heeft ontvangen, op de hoogte van elke weigering of beperking van de rechten, vermeld in het eerste lid. De verdere informatie over de nadere redenen voor die weigering of die beperking hoeft niet te worden verstrekt als dat de decretale en reglementaire opdrachten van de ambtenaren, vermeld in artikel 3.37, zou ondermijnen, met behoud van de toepassing van het achtste lid. Als het nodig is, kan de voormelde termijn met twee maanden worden verlengd, rekening houdend met het aantal aanvragen en de complexiteit ervan. De verwerkingsverantwoordelijke brengt de betrokkene binnen een maand vanaf de dag die volgt op de dag waarop hij het verzoek heeft ontvangen, op de hoogte van die verlenging en van de redenen voor het uitstel.</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bevoegde functionaris voor gegevensbescherming informeert de betrokkene ook over de mogelijkheid om een verzoek in te dienen bij de Vlaamse toezichtcommissie voor de verwerking van persoonsgegevens conform artikel 10/5 van het decreet van 18 juli 2008 betreffende het elektronische bestuurlijke gegevensverkeer en om een beroep in rechte in te stellen.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bevoegde functionaris voor gegevensbescherming noteert de feitelijke of juridische gronden waarop de beslissing is gebaseerd. Die informatie houdt hij ter beschikking van de voormelde Vlaamse toezichtcommissie.</w:t>
      </w:r>
      <w:r w:rsidRPr="007B46EF">
        <w:rPr>
          <w:rFonts w:ascii="Verdana" w:eastAsia="Times New Roman" w:hAnsi="Verdana" w:cs="Times New Roman"/>
          <w:lang w:eastAsia="nl-BE"/>
        </w:rPr>
        <w:br/>
      </w:r>
      <w:r w:rsidRPr="007B46EF">
        <w:rPr>
          <w:rFonts w:ascii="Verdana" w:eastAsia="Times New Roman" w:hAnsi="Verdana" w:cs="Times New Roman"/>
          <w:lang w:eastAsia="nl-BE"/>
        </w:rPr>
        <w:br/>
        <w:t>Nadat het onderzoek afgesloten is, worden de rechten, vermeld in artikel 13 tot en met 22 van de voormelde verordening, in voorkomend geval, conform artikel 12 van de voormelde verordening opnieuw toegepast.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een dossier dat persoonsgegevens als vermeld in het eerste lid, bevat, naar het Openbaar Ministerie is gestuurd en kan leiden tot activiteiten onder leiding van het Openbaar Ministerie of een onderzoeksrechter, en er onduidelijkheid is over het geheim van het onderzoek onder leiding van het Openbaar Ministerie of een onderzoeksrechter, mag de bevoegde functionaris voor gegevensbescherming op verzoek van de betrokkene overeenkomstig artikel 12 tot en met 22 van de voormelde verordening pas antwoorden nadat het Openbaar Ministerie of, in voorkomend geval, de onderzoeksrechter heeft bevestigd dat een antwoord het onderzoek niet in het gedrang brengt of kan brengen.</w:t>
      </w:r>
    </w:p>
    <w:p w14:paraId="6CFBFD0D"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p>
    <w:p w14:paraId="6F3290F5" w14:textId="77777777" w:rsidR="007B46EF" w:rsidRPr="007B46EF" w:rsidRDefault="007B46EF" w:rsidP="007B46EF">
      <w:pPr>
        <w:spacing w:before="100" w:beforeAutospacing="1" w:after="100" w:afterAutospacing="1" w:line="240" w:lineRule="auto"/>
        <w:outlineLvl w:val="2"/>
        <w:rPr>
          <w:rFonts w:ascii="Verdana" w:eastAsia="Times New Roman" w:hAnsi="Verdana" w:cs="Times New Roman"/>
          <w:b/>
          <w:bCs/>
          <w:lang w:eastAsia="nl-BE"/>
        </w:rPr>
      </w:pPr>
      <w:r w:rsidRPr="007B46EF">
        <w:rPr>
          <w:rFonts w:ascii="Verdana" w:eastAsia="Times New Roman" w:hAnsi="Verdana" w:cs="Times New Roman"/>
          <w:b/>
          <w:bCs/>
          <w:lang w:eastAsia="nl-BE"/>
        </w:rPr>
        <w:t xml:space="preserve">Titel 2. Herstel </w:t>
      </w:r>
    </w:p>
    <w:p w14:paraId="01EFF9B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3.43. (01/01/2021- ...) </w:t>
      </w:r>
    </w:p>
    <w:p w14:paraId="6E4BE547"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Naast de straf kan de rechtbank de overtreder bevelen om werken uit te voeren om de woning of het pand dat het gebouw met de aanwezige woningen omvat, conform te maken en om de </w:t>
      </w:r>
      <w:proofErr w:type="spellStart"/>
      <w:r w:rsidRPr="007B46EF">
        <w:rPr>
          <w:rFonts w:ascii="Verdana" w:eastAsia="Times New Roman" w:hAnsi="Verdana" w:cs="Times New Roman"/>
          <w:lang w:eastAsia="nl-BE"/>
        </w:rPr>
        <w:t>overbewoning</w:t>
      </w:r>
      <w:proofErr w:type="spellEnd"/>
      <w:r w:rsidRPr="007B46EF">
        <w:rPr>
          <w:rFonts w:ascii="Verdana" w:eastAsia="Times New Roman" w:hAnsi="Verdana" w:cs="Times New Roman"/>
          <w:lang w:eastAsia="nl-BE"/>
        </w:rPr>
        <w:t xml:space="preserve"> te beëindigen. Als de rechtbank vaststelt dat de woning niet in aanmerking komt voor werkzaamheden, of dat het gaat om een goed als vermeld in artikel 3.35, beveelt ze de overtreder om er een andere bestemming aan te geven overeenkomstig de bepalingen van de Vlaamse Codex Ruimtelijke Ordening van 15 mei 2009 of om de woning of het </w:t>
      </w:r>
      <w:r w:rsidRPr="007B46EF">
        <w:rPr>
          <w:rFonts w:ascii="Verdana" w:eastAsia="Times New Roman" w:hAnsi="Verdana" w:cs="Times New Roman"/>
          <w:lang w:eastAsia="nl-BE"/>
        </w:rPr>
        <w:lastRenderedPageBreak/>
        <w:t>goed te slopen, tenzij de sloop ervan verboden is op grond van wettelijke, decretale of reglementaire bepalingen. Dat gebeurt ambtshalve of op vordering van de wooninspecteur of het college van burgemeester en schepenen van de gemeente waar de woning, het pand of het goed ligt.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rechtbank bepaalt de termijn voor de uitvoering van de herstelmaatregelen en kan, op vordering van de wooninspecteur of het college van burgemeester en schepenen, eveneens een dwangsom bepalen per dag vertraging in de tenuitvoerlegging van de herstelmaatregelen. De termijn voor de uitvoering van de herstelmaatregelen bedraagt maximaal twee jaar.</w:t>
      </w:r>
    </w:p>
    <w:p w14:paraId="70A7C20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w:t>
      </w:r>
    </w:p>
    <w:p w14:paraId="6ECBE41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3.44. (01/01/2021- ...) </w:t>
      </w:r>
    </w:p>
    <w:p w14:paraId="1EFABDF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§1. De vorderingen bedoeld in artikel 3.43, worden bij het parket ingeleid bij gewone brief in naam van het Vlaamse Gewest of het college van burgemeester en schepenen, door de wooninspecteurs en de </w:t>
      </w:r>
      <w:proofErr w:type="spellStart"/>
      <w:r w:rsidRPr="007B46EF">
        <w:rPr>
          <w:rFonts w:ascii="Verdana" w:eastAsia="Times New Roman" w:hAnsi="Verdana" w:cs="Times New Roman"/>
          <w:lang w:eastAsia="nl-BE"/>
        </w:rPr>
        <w:t>aangestelden</w:t>
      </w:r>
      <w:proofErr w:type="spellEnd"/>
      <w:r w:rsidRPr="007B46EF">
        <w:rPr>
          <w:rFonts w:ascii="Verdana" w:eastAsia="Times New Roman" w:hAnsi="Verdana" w:cs="Times New Roman"/>
          <w:lang w:eastAsia="nl-BE"/>
        </w:rPr>
        <w:t xml:space="preserve"> van het college van burgemeester en schepenen.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wooninspecteur of het college van burgemeester en schepenen stuurt een afschrift van de vordering, vermeld in artikel 3.43, naar de overtreder en naar de eigenaar van de woning, het pand of het goed waarvoor de vordering werd ingeleid.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wooninspecteur neemt de woningen, panden en goederen waarop een vordering als vermeld in artikel 3.43, rust, op in een register dat actief openbaar wordt gemaakt. De Vlaamse Regering kan nadere regels bepalen voor de vorm, inhoud, beheer en gebruik van dat register. Als een vordering als vermeld in artikel 3.43, wordt ingeleid in naam van het college van burgemeester en schepenen, wordt daarvan een afschrift bezorgd aan de wooninspecteur met het oog op de opname van die vordering in het register, vermeld in het derde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§2. De vordering wordt uitdrukkelijk gemotiveerd vanuit het oogpunt van de conformiteit van de woning en het beëindigen van de </w:t>
      </w:r>
      <w:proofErr w:type="spellStart"/>
      <w:r w:rsidRPr="007B46EF">
        <w:rPr>
          <w:rFonts w:ascii="Verdana" w:eastAsia="Times New Roman" w:hAnsi="Verdana" w:cs="Times New Roman"/>
          <w:lang w:eastAsia="nl-BE"/>
        </w:rPr>
        <w:t>overbewoning</w:t>
      </w:r>
      <w:proofErr w:type="spellEnd"/>
      <w:r w:rsidRPr="007B46EF">
        <w:rPr>
          <w:rFonts w:ascii="Verdana" w:eastAsia="Times New Roman" w:hAnsi="Verdana" w:cs="Times New Roman"/>
          <w:lang w:eastAsia="nl-BE"/>
        </w:rPr>
        <w:t xml:space="preserve">. </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De vordering vermeldt minstens de gebreken op basis waarvan het herstel wordt gevorderd.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§4. De wooninspecteur en het college van burgemeester en schepenen kunnen ook voor de rechtbank van eerste aanleg, zetelend in burgerlijke aangelegenheden, in het gerechtelijk arrondissement waar de woning, het pand of het goed, vermeld in artikel 3.34, 3.35 en 3.36, zich bevindt, de uitvoering van herstelmaatregelen vorderen zoals omschreven in artikel 3.43.</w:t>
      </w:r>
    </w:p>
    <w:p w14:paraId="02615090" w14:textId="77777777" w:rsidR="007B46EF" w:rsidRPr="006A74E8" w:rsidRDefault="007B46EF" w:rsidP="007B46EF">
      <w:pPr>
        <w:spacing w:before="100" w:beforeAutospacing="1" w:after="100" w:afterAutospacing="1" w:line="240" w:lineRule="auto"/>
        <w:rPr>
          <w:rFonts w:ascii="Verdana" w:eastAsia="Times New Roman" w:hAnsi="Verdana" w:cs="Times New Roman"/>
          <w:lang w:eastAsia="nl-BE"/>
        </w:rPr>
      </w:pPr>
    </w:p>
    <w:p w14:paraId="14579F8E" w14:textId="1A27C29A"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3.45. (01/01/2021- ...) </w:t>
      </w:r>
    </w:p>
    <w:p w14:paraId="0090BBB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hoven en rechtbanken die uitspraak doen over de vorderingen, vermeld in artikel 3.43, bezorgen een afschrift aan de herstelvorderende overheid binnen de termijn om rechtsmiddelen tegen de uitspraak aan te wenden.</w:t>
      </w:r>
    </w:p>
    <w:p w14:paraId="4B7F217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lastRenderedPageBreak/>
        <w:t xml:space="preserve">Artikel 3.46. (01/01/2021- 31/12/2022) </w:t>
      </w:r>
    </w:p>
    <w:p w14:paraId="6429117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Als de overtreder de gevorderde of de door de rechtbank opgelegde herstelmaatregelen vrijwillig heeft uitgevoerd, brengt hij de wooninspecteur en het college van burgemeester en schepenen daarvan onmiddellijk op de hoogte. De kennisgeving wordt aangetekend verstuurd of wordt afgegeven tegen ontvangstbewijs. Na ontvangst van de vergoeding, vermeld in het tweede lid, doet de ambtenaar, vermeld in artikel 3.37, eerste lid, een controle ter plaatse en stelt hij een proces-verbaal van vaststelling op.</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controle ter plaatse, vermeld in het eerste lid, wordt pas uitgevoerd na de betaling van een vergoeding. De Vlaamse Regering bepaalt het bedrag van de vergoeding en de nadere regelen voor de inning ervan. De opbrengst van de vergoeding wordt toegewezen aan het Fonds voor de Wooninspectie, vermeld in artikel 19 van het decreet van 29 juni 2007 houdende bepalingen tot begeleiding van de aanpassing van de begroting 2007.</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wooninspecteur stelt een proces-verbaal van uitvoering op. Behoudens bewijs van het tegendeel geldt alleen het proces-verbaal van uitvoering als bewijs van het herstel en van de datum van het herstel. De wooninspecteur zendt een afschrift van het proces-verbaal van uitvoering aan het college van burgemeester en schepenen en aan de overtreder en de eigenaar van de woning, het pand of het goed, vermeld in artikel 3.34, 3.35 en 3.36. De burgemeester of de gewestelijk ambtenaar kunnen geen conformiteitsattest afleveren zolang uit het proces-verbaal van uitvoering niet blijkt dat de herstelmaatregel volledig uitgevoerd is.</w:t>
      </w:r>
    </w:p>
    <w:p w14:paraId="169072A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w:t>
      </w:r>
    </w:p>
    <w:p w14:paraId="3E8C2C44"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3.47. (01/01/2021- ...) </w:t>
      </w:r>
    </w:p>
    <w:p w14:paraId="228B093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Voor het geval dat de herstelmaatregelen door de overtreder niet binnen de door de rechtbank gestelde termijn worden uitgevoerd, beveelt het vonnis van de rechter, bedoeld in artikel 3.43 en 3.44, dat de wooninspecteur, het college van burgemeester en schepenen en eventueel de burgerlijke partij, ambtshalve in de uitvoering ervan kan voorzien.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Wanneer de overtreder in gebreke blijft is hij verplicht alle uitvoeringskosten te vergoeden op vertoon van een staat, opgesteld door de overheid, bedoeld in het eerste lid, of begroot en uitvoerbaar verklaard door de beslagrechter in de burgerlijke rechtbank.</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verjaringstermijn van de maatregel, bedoeld in artikel 3.43 en 3.44, neemt een aanvang vanaf het verstrijken van de termijn die de rechtbank bepaald heeft voor de tenuitvoerlegging ervan</w:t>
      </w:r>
    </w:p>
    <w:p w14:paraId="4AEE4F8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3.48. (01/01/2021- ...) </w:t>
      </w:r>
    </w:p>
    <w:p w14:paraId="336D3313"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In geval van veroordeling wegens één van de misdrijven, bepaald in artikel 3.34, 3.35 en 3.36, machtigt het vonnis van de rechter, bedoeld in artikel 3.43 en 3.44, de wooninspecteur en het college van burgemeester en schepenen om de kosten, vermeld in artikel 3.33, te verhalen op de overtreder.</w:t>
      </w:r>
      <w:r w:rsidRPr="007B46EF">
        <w:rPr>
          <w:rFonts w:ascii="Verdana" w:eastAsia="Times New Roman" w:hAnsi="Verdana" w:cs="Times New Roman"/>
          <w:lang w:eastAsia="nl-BE"/>
        </w:rPr>
        <w:br/>
      </w:r>
      <w:r w:rsidRPr="007B46EF">
        <w:rPr>
          <w:rFonts w:ascii="Verdana" w:eastAsia="Times New Roman" w:hAnsi="Verdana" w:cs="Times New Roman"/>
          <w:lang w:eastAsia="nl-BE"/>
        </w:rPr>
        <w:lastRenderedPageBreak/>
        <w:br/>
        <w:t>De overtreder is verplicht alle kosten te vergoeden op vertoon van een staat opgesteld door de overheid, bedoeld in het eerste lid, of begroot en uitvoerbaar verklaard door de beslagrechter in de burgerlijke rechtbank.</w:t>
      </w:r>
    </w:p>
    <w:p w14:paraId="7F4D3B9C" w14:textId="77777777" w:rsidR="007B46EF" w:rsidRPr="007B46EF" w:rsidRDefault="007B46EF" w:rsidP="007B46EF">
      <w:pPr>
        <w:spacing w:before="100" w:beforeAutospacing="1" w:after="100" w:afterAutospacing="1" w:line="240" w:lineRule="auto"/>
        <w:outlineLvl w:val="2"/>
        <w:rPr>
          <w:rFonts w:ascii="Verdana" w:eastAsia="Times New Roman" w:hAnsi="Verdana" w:cs="Times New Roman"/>
          <w:b/>
          <w:bCs/>
          <w:lang w:eastAsia="nl-BE"/>
        </w:rPr>
      </w:pPr>
      <w:r w:rsidRPr="007B46EF">
        <w:rPr>
          <w:rFonts w:ascii="Verdana" w:eastAsia="Times New Roman" w:hAnsi="Verdana" w:cs="Times New Roman"/>
          <w:b/>
          <w:bCs/>
          <w:lang w:eastAsia="nl-BE"/>
        </w:rPr>
        <w:t xml:space="preserve">Titel 3. Procedurele bepalingen </w:t>
      </w:r>
    </w:p>
    <w:p w14:paraId="50F4DC76"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3.49. (01/01/2021- ...) </w:t>
      </w:r>
    </w:p>
    <w:p w14:paraId="5CBA806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De dagvaarding voor de correctionele rechtbank op grond van artikel 3.34, 3.35 en 3.36, of het exploot tot inleiding van het geding, bedoeld in artikel 3.44, §4, is pas ontvankelijk na overschrijving in het bevoegde kantoor van de Algemene Administratie van de Patrimoniumdocumentatie van het gebied waar de goederen gelegen zijn.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Elke eindbeslissing die in de zaak gewezen is, wordt op de kant van de overgeschreven dagvaarding of van het overgeschreven exploot ingeschreven op de wijze, bepaald in artikel 84 van de hypotheekwet. Bij gebrek aan een overschrijving, bedoeld in het eerste lid, wordt de eindbeslissing ingeschreven op de kant van de overschrijving van de titel van verkrijging.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Hetzelfde geldt voor het proces-verbaal waarbij wordt vastgesteld dat het vonnis of arrest is uitgevoerd en voor het proces-verbaal waarbij wordt vastgesteld dat de in artikel 3.43 vermelde herstelvordering werd uitgevoerd nadat het exploot tot inleiding van het geding, bedoeld in artikel 3.44, §4, is overgeschreven.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De dagvaarding of het exploot vermeldt de kadastrale omschrijving van het onroerend goed dat het voorwerp uitmaakt van het misdrijf en identificeert de eigenaar ervan, in de vorm en onder de sanctie voorgeschreven door de wetgeving inzake hypotheken.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De uitvoering door of in de plaats van de veroordeelde, van de publieke herstelmaatregel die is opgelegd met toepassing van artikel 3.43 tot en met 3.48, moet door iedereen worden gedoogd.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Met behoud van de toepassing van het eerste lid kunnen derden-verkrijgers die niet in het geding zijn tussengekomen en van wie de titel al was overgeschreven vóór de hypothecaire publiciteit, vermeld in paragraaf 1, derdenverzet instellen tegen de eindbeslissing waarin de herstelmaatregel, vermeld in het eerste lid, is opgelegd.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§4. Als openbare besturen of derden wegens het in gebreke blijven van de veroordeelde of van de nieuwe houder van het zakelijk recht, vermeld in artikel 3.50, gedwongen zijn om het vonnis uit te voeren, wordt de daaruit te hunnen bate voortvloeiende schuldvordering gewaarborgd door een wettelijke hypotheek, die ingeschreven, vernieuwd, verminderd of gedeeltelijk doorgehaald wordt overeenkomstig de bepalingen in de hoofdstukken IV en V van de hypotheekwet.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Die waarborg dekt ook de schuldvordering ten gevolge van de kosten van de hypothecaire formaliteiten die door hen zijn voorgeschoten en die ten laste </w:t>
      </w:r>
      <w:r w:rsidRPr="007B46EF">
        <w:rPr>
          <w:rFonts w:ascii="Verdana" w:eastAsia="Times New Roman" w:hAnsi="Verdana" w:cs="Times New Roman"/>
          <w:lang w:eastAsia="nl-BE"/>
        </w:rPr>
        <w:lastRenderedPageBreak/>
        <w:t>komen van de veroordeelde of van de nieuwe houder van het zakelijk recht, vermeld in artikel 3.50.</w:t>
      </w:r>
    </w:p>
    <w:p w14:paraId="79DC813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3.50. (01/01/2021- ...) </w:t>
      </w:r>
    </w:p>
    <w:p w14:paraId="1B5756E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Als er op een roerend of onroerend goed ten gevolge van een definitieve rechterlijke beslissing een verplichting rust om herstelmaatregelen uit te voeren als vermeld in deel 9, titel 2, wordt die verplichting op het ogenblik dat een authentieke akte wordt opgesteld voor de overdracht van een zakelijk recht op het goed, in een afzonderlijke akte vermeld. In die akte wordt ook vermeld dat de nieuwe houder van het zakelijk recht de verbintenis aangaat om, met behoud van de toepassing van de verplichting voor de overtreder, de opgelegde herstelmaatregelen uit te voeren en de eventuele uitvoeringskosten te vergoeden overeenkomstig artikel 3.47, tweede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instrumenterende ambtenaar bezorgt een afschrift van de afzonderlijke akte, vermeld in het eerste lid, aan de wooninspecteur en is ertoe gehouden de grosse af te leveren op zijn verzoek.</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kosten voor het opstellen van de afzonderlijke akte zijn ten laste van de overdrager van het zakelijk recht.</w:t>
      </w:r>
    </w:p>
    <w:p w14:paraId="00AECAD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3.51. (01/01/2021- ...) </w:t>
      </w:r>
    </w:p>
    <w:p w14:paraId="4CA886E7"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overtreder brengt voor het afsluiten van de overeenkomst tot overdracht van een zakelijk recht, de kandidaat-overnemer op de hoogte dat op het goed een vordering of veroordeling als vermeld in artikel 3.43, rust. In de overeenkomst tot overdracht van het zakelijk recht wordt vermeld dat op het goed een bovenvermelde vordering of veroordeling rust.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Met behoud van het recht om een schadevergoeding te eisen, vernietigt de rechtbank, op vordering van de overnemer, de titel van overdracht van zakelijk recht als de overtreder niet voldaan heeft aan de verplichting, vermeld in het eerste lid.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In afwijking van het tweede lid kan de overnemer de vordering tot vernietiging niet inroepen als de informatie, vermeld in het eerste lid, wordt meegedeeld bij het verlijden van de authentieke akte en als de nieuwe houder van het zakelijk recht verzaakt aan de vordering tot vernietiging.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een zakelijk recht op een roerend of onroerend goed wordt overgedragen, consulteert de instrumenterend ambtenaar het register van herstelvorderingen, vermeld in artikel 3.44, §1, derde lid, en neemt hij de daarin opgenomen informatie op in de akte van overdracht. Als het register over dat goed geen informatie bevat, wordt dat ook vermeld in de akte.</w:t>
      </w:r>
    </w:p>
    <w:p w14:paraId="784C1BDD" w14:textId="77777777" w:rsidR="007B46EF" w:rsidRPr="007B46EF" w:rsidRDefault="007B46EF" w:rsidP="007B46EF">
      <w:pPr>
        <w:spacing w:before="100" w:beforeAutospacing="1" w:after="100" w:afterAutospacing="1" w:line="240" w:lineRule="auto"/>
        <w:outlineLvl w:val="2"/>
        <w:rPr>
          <w:rFonts w:ascii="Verdana" w:eastAsia="Times New Roman" w:hAnsi="Verdana" w:cs="Times New Roman"/>
          <w:b/>
          <w:bCs/>
          <w:lang w:eastAsia="nl-BE"/>
        </w:rPr>
      </w:pPr>
      <w:r w:rsidRPr="007B46EF">
        <w:rPr>
          <w:rFonts w:ascii="Verdana" w:eastAsia="Times New Roman" w:hAnsi="Verdana" w:cs="Times New Roman"/>
          <w:b/>
          <w:bCs/>
          <w:lang w:eastAsia="nl-BE"/>
        </w:rPr>
        <w:t>Titel 4. Verzegeling</w:t>
      </w:r>
    </w:p>
    <w:p w14:paraId="1AD5F1B0"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3.52. (01/01/2021- 31/12/2022) </w:t>
      </w:r>
    </w:p>
    <w:p w14:paraId="1CA59EEB"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In deze titel wordt verstaan onder beboetingsambtenaar: de ambtenaar die met toepassing van de regels, vastgesteld door de Vlaamse Regering, wordt </w:t>
      </w:r>
      <w:r w:rsidRPr="007B46EF">
        <w:rPr>
          <w:rFonts w:ascii="Verdana" w:eastAsia="Times New Roman" w:hAnsi="Verdana" w:cs="Times New Roman"/>
          <w:lang w:eastAsia="nl-BE"/>
        </w:rPr>
        <w:lastRenderedPageBreak/>
        <w:t>aangewezen en die binnen zijn ambtsgebied belast is met de opdrachten, vermeld in deze titel.</w:t>
      </w:r>
    </w:p>
    <w:p w14:paraId="18CE56C5"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3.53. (01/01/2021- 31/12/2022) </w:t>
      </w:r>
    </w:p>
    <w:p w14:paraId="3503C19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De burgemeester en de ambtenaren, vermeld in artikel 3.37, kunnen de verhuurde of te huur of ter beschikking gestelde woningen die niet conform of </w:t>
      </w:r>
      <w:proofErr w:type="spellStart"/>
      <w:r w:rsidRPr="007B46EF">
        <w:rPr>
          <w:rFonts w:ascii="Verdana" w:eastAsia="Times New Roman" w:hAnsi="Verdana" w:cs="Times New Roman"/>
          <w:lang w:eastAsia="nl-BE"/>
        </w:rPr>
        <w:t>overbewoond</w:t>
      </w:r>
      <w:proofErr w:type="spellEnd"/>
      <w:r w:rsidRPr="007B46EF">
        <w:rPr>
          <w:rFonts w:ascii="Verdana" w:eastAsia="Times New Roman" w:hAnsi="Verdana" w:cs="Times New Roman"/>
          <w:lang w:eastAsia="nl-BE"/>
        </w:rPr>
        <w:t xml:space="preserve"> zijn, en goederen als vermeld in artikel 3.35, verzegelen.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Een goed als vermeld in het eerste lid, kan ook verzegeld worden als er al een misdrijf als vermeld in artikel 3.34, 3.35 of 3.36, is vastgesteld en het goed niet langer verhuurd, te huur of ter beschikking gesteld wordt.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Als de verzegeling gepaard gaat met gedwongen uitdrijving, neemt de burgemeester de nodige initiatieven voor de herhuisvesting van de bewoners in kwestie, vermeld in artikel 3.32 en 3.33.</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doorbreking van de verzegeling wordt gelijkgesteld met een misdrijf als vermeld in artikel 283 tot en met 288 van het Strafwetboek.</w:t>
      </w:r>
    </w:p>
    <w:p w14:paraId="6C27B71E"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3.54. (20/09/2021- ...) </w:t>
      </w:r>
    </w:p>
    <w:p w14:paraId="4A27501A"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De verhuurder, de houder van het zakelijk recht en de bewoner kunnen tegen de verzegeling beroep instellen bij de Vlaamse Regering binnen tien dagen nadat ze op de hoogte zijn gebracht van de verzegeling. Het beroep werkt niet opschortend. De Vlaamse Regering bepaalt de procedure voor het instellen en het behandelen van het beroep.</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verhuurder, de houder van het zakelijk recht en de bewoner kunnen een verzoek tot opheffing van de verzegeling indienen bij de instantie die heeft verzegeld, als het verzoek betrekking heeft op het uitvoeren van herstelwerkzaamheden of dient om eventuele schade te beperken of te vermijden. Het verzoek wordt verstuurd met een beveiligde zending. De instantie aan wie het verzoek is gericht, beslist binnen 30 dagen nadat ze het verzoek tot opheffing van de verzegeling heeft ontvangen. Die termijn is eenmalig verlengbaar met 30 dagen. Als er geen tijdige beslissing wordt genomen, wordt het verzoek geacht afgewezen te zijn. Tegen een weigering om de verzegeling op te heffen, is beroep mogelijk bij de Vlaamse Regering. De Vlaamse Regering bepaalt de procedure voor het instellen en het behandelen van het beroep.</w:t>
      </w:r>
    </w:p>
    <w:p w14:paraId="6138CD2F"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3.55. (01/01/2021- 31/12/2022) </w:t>
      </w:r>
    </w:p>
    <w:p w14:paraId="48747CF9"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§1. Het schenden van een verzegeling of het niet-naleven van de voorwaarden die gekoppeld werden aan de opheffing van de verzegeling, is strafbaar met een administratieve geldboete van 500 euro tot 5000 euro. De boete wordt opgelegd door de beboetingsambtenaar.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beboetingsambtenaar brengt de beboete persoon of rechtspersoon met een beveiligde zending op de hoogte van zijn voornemen om een geldboete op te leggen en doet daarbij een voorstel op basis van de elementen van het dossier.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De beboete persoon of rechtspersoon kan een schriftelijk verweer indienen </w:t>
      </w:r>
      <w:r w:rsidRPr="007B46EF">
        <w:rPr>
          <w:rFonts w:ascii="Verdana" w:eastAsia="Times New Roman" w:hAnsi="Verdana" w:cs="Times New Roman"/>
          <w:lang w:eastAsia="nl-BE"/>
        </w:rPr>
        <w:lastRenderedPageBreak/>
        <w:t>binnen dertig dagen nadat het voornemen om een geldboete op te leggen bij de post is afgegeven. Als de betrokkene ook mondeling gehoord wil worden, vermeldt hij dat uitdrukkelijk in het schriftelijk verweer.</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beboetingsambtenaar neemt een beslissing over het schriftelijk verweer binnen dertig dagen na de ontvangst ervan. Die termijn kan eenmalig met dertig dagen verlengd worden. Als er een mondelinge hoorzitting plaatsvindt, bedraagt de beslissingstermijn zestig dagen na de ontvangst van het schriftelijk verweer. Die termijn kan eenmalig met dertig dagen verlengd worden. De beslissing van de beboetingsambtenaar wordt verzonden met een beveiligde zending. De administratieve geldboete wordt betaald binnen dertig dagen nadat de beslissing bij de post is afgegeven.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§2. Als de geldboete niet wordt betaald binnen dertig dagen nadat het voornemen om een geldboete op te leggen of de beslissing na schriftelijk verweer bij de post is afgegeven, vaardigt de beboetingsambtenaar een dwangbevel uit dat wordt geviseerd en uitvoerbaar verklaard door de leidend ambtenaar van de entiteit waartoe de beboetingsambtenaar behoort. Het dwangbevel wordt betekend bij gerechtsdeurwaardersexploot. Binnen een termijn van dertig dagen na de betekening van het dwangbevel kan de persoon of rechtspersoon aan wie dit dwangbevel betekend is via gerechtsdeurwaardersexploot een met redenen omkleed verzet doen bij de rechtbank van het arrondissement van de plaats waar het verzegelde goed ligt.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Op het dwangbevel zijn de bepalingen van deel V van het Gerechtelijk Wetboek houdende bewarend beslag en middelen van tenuitvoerlegging van toepassing.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§3. Tegen de beslissing van de beboetingsambtenaar over het ingediende verweer is beroep mogelijk bij de Raad van State, die oordeelt met volle rechtsmacht. Dit beroep heeft geen schorsende werking.</w:t>
      </w:r>
    </w:p>
    <w:p w14:paraId="37EB2E6E" w14:textId="77777777" w:rsidR="007B46EF" w:rsidRPr="007B46EF" w:rsidRDefault="007B46EF" w:rsidP="007B46EF">
      <w:pPr>
        <w:spacing w:before="100" w:beforeAutospacing="1" w:after="100" w:afterAutospacing="1" w:line="240" w:lineRule="auto"/>
        <w:outlineLvl w:val="1"/>
        <w:rPr>
          <w:rFonts w:ascii="Verdana" w:eastAsia="Times New Roman" w:hAnsi="Verdana" w:cs="Times New Roman"/>
          <w:b/>
          <w:bCs/>
          <w:lang w:eastAsia="nl-BE"/>
        </w:rPr>
      </w:pPr>
      <w:r w:rsidRPr="007B46EF">
        <w:rPr>
          <w:rFonts w:ascii="Verdana" w:eastAsia="Times New Roman" w:hAnsi="Verdana" w:cs="Times New Roman"/>
          <w:b/>
          <w:bCs/>
          <w:lang w:eastAsia="nl-BE"/>
        </w:rPr>
        <w:t>[Deel 10. Privacy (ing. Decr. 9 juli 2021, art. 53, I: 20 september 2021)]</w:t>
      </w:r>
    </w:p>
    <w:p w14:paraId="546100DC"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3.56. (20/09/2021- ...) </w:t>
      </w:r>
    </w:p>
    <w:p w14:paraId="0B500438"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1. Voor de toepassing van de bepalingen van dit boek worden persoonsgegevens verwerkt om de minimale woningkwaliteit, vermeld in deel 1, na te streven.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2. De verantwoordelijken voor de verwerking van persoonsgegevens met toepassing van de bepalingen in deel 2 tot en met 7 van dit boek zijn:</w:t>
      </w:r>
      <w:r w:rsidRPr="007B46EF">
        <w:rPr>
          <w:rFonts w:ascii="Verdana" w:eastAsia="Times New Roman" w:hAnsi="Verdana" w:cs="Times New Roman"/>
          <w:lang w:eastAsia="nl-BE"/>
        </w:rPr>
        <w:br/>
        <w:t>1° de steden en gemeenten, met inbegrip van de intergemeentelijke samenwerkingsverbanden, voor wat betreft de verwerkingen die zij voor hun rekening nemen;</w:t>
      </w:r>
      <w:r w:rsidRPr="007B46EF">
        <w:rPr>
          <w:rFonts w:ascii="Verdana" w:eastAsia="Times New Roman" w:hAnsi="Verdana" w:cs="Times New Roman"/>
          <w:lang w:eastAsia="nl-BE"/>
        </w:rPr>
        <w:br/>
        <w:t>2° het agentschap dat door de Vlaamse Regering belast wordt met de uitvoering van het woonbeleid, voor wat betreft de verwerkingen die het voor zijn rekening neemt;</w:t>
      </w:r>
      <w:r w:rsidRPr="007B46EF">
        <w:rPr>
          <w:rFonts w:ascii="Verdana" w:eastAsia="Times New Roman" w:hAnsi="Verdana" w:cs="Times New Roman"/>
          <w:lang w:eastAsia="nl-BE"/>
        </w:rPr>
        <w:br/>
        <w:t>3° de Vlaamse Belastingdienst, voor wat betreft het raadplegen van persoonsgegevens met het oog op de uitvoering van diens opdrachten.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De verantwoordelijken voor de verwerking van persoonsgegevens met toepassing van deel 8 van dit boek zijn, ieder voor wat betreft de verwerkingen </w:t>
      </w:r>
      <w:r w:rsidRPr="007B46EF">
        <w:rPr>
          <w:rFonts w:ascii="Verdana" w:eastAsia="Times New Roman" w:hAnsi="Verdana" w:cs="Times New Roman"/>
          <w:lang w:eastAsia="nl-BE"/>
        </w:rPr>
        <w:lastRenderedPageBreak/>
        <w:t>die zij voor hun rekening nemen:</w:t>
      </w:r>
      <w:r w:rsidRPr="007B46EF">
        <w:rPr>
          <w:rFonts w:ascii="Verdana" w:eastAsia="Times New Roman" w:hAnsi="Verdana" w:cs="Times New Roman"/>
          <w:lang w:eastAsia="nl-BE"/>
        </w:rPr>
        <w:br/>
        <w:t>1° de steden en gemeenten;</w:t>
      </w:r>
      <w:r w:rsidRPr="007B46EF">
        <w:rPr>
          <w:rFonts w:ascii="Verdana" w:eastAsia="Times New Roman" w:hAnsi="Verdana" w:cs="Times New Roman"/>
          <w:lang w:eastAsia="nl-BE"/>
        </w:rPr>
        <w:br/>
        <w:t xml:space="preserve">2° de </w:t>
      </w:r>
      <w:proofErr w:type="spellStart"/>
      <w:r w:rsidRPr="007B46EF">
        <w:rPr>
          <w:rFonts w:ascii="Verdana" w:eastAsia="Times New Roman" w:hAnsi="Verdana" w:cs="Times New Roman"/>
          <w:lang w:eastAsia="nl-BE"/>
        </w:rPr>
        <w:t>OCMW's</w:t>
      </w:r>
      <w:proofErr w:type="spellEnd"/>
      <w:r w:rsidRPr="007B46EF">
        <w:rPr>
          <w:rFonts w:ascii="Verdana" w:eastAsia="Times New Roman" w:hAnsi="Verdana" w:cs="Times New Roman"/>
          <w:lang w:eastAsia="nl-BE"/>
        </w:rPr>
        <w:t>;</w:t>
      </w:r>
      <w:r w:rsidRPr="007B46EF">
        <w:rPr>
          <w:rFonts w:ascii="Verdana" w:eastAsia="Times New Roman" w:hAnsi="Verdana" w:cs="Times New Roman"/>
          <w:lang w:eastAsia="nl-BE"/>
        </w:rPr>
        <w:br/>
        <w:t>3° de sociale woonorganisaties.</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verantwoordelijke voor de verwerking van persoonsgegevens met toepassing van de bepalingen van deel 9 van dit boek is het agentschap dat door de Vlaamse Regering belast wordt met de uitvoering van het woonbeleid.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xml:space="preserve">De verwerkingsverantwoordelijken, vermeld in deze paragraaf, verduidelijken in hun respectieve </w:t>
      </w:r>
      <w:proofErr w:type="spellStart"/>
      <w:r w:rsidRPr="007B46EF">
        <w:rPr>
          <w:rFonts w:ascii="Verdana" w:eastAsia="Times New Roman" w:hAnsi="Verdana" w:cs="Times New Roman"/>
          <w:lang w:eastAsia="nl-BE"/>
        </w:rPr>
        <w:t>privacyverklaringen</w:t>
      </w:r>
      <w:proofErr w:type="spellEnd"/>
      <w:r w:rsidRPr="007B46EF">
        <w:rPr>
          <w:rFonts w:ascii="Verdana" w:eastAsia="Times New Roman" w:hAnsi="Verdana" w:cs="Times New Roman"/>
          <w:lang w:eastAsia="nl-BE"/>
        </w:rPr>
        <w:t xml:space="preserve"> welke verwerkingen zij voor hun rekening nemen. Zij nemen met het oog op transparantie en de garantie van de rechten van betrokkenen in hun communicatie met deze betrokkenen een verwijzing op naar de vindplaats van hun respectieve </w:t>
      </w:r>
      <w:proofErr w:type="spellStart"/>
      <w:r w:rsidRPr="007B46EF">
        <w:rPr>
          <w:rFonts w:ascii="Verdana" w:eastAsia="Times New Roman" w:hAnsi="Verdana" w:cs="Times New Roman"/>
          <w:lang w:eastAsia="nl-BE"/>
        </w:rPr>
        <w:t>privacyverklaringen</w:t>
      </w:r>
      <w:proofErr w:type="spellEnd"/>
      <w:r w:rsidRPr="007B46EF">
        <w:rPr>
          <w:rFonts w:ascii="Verdana" w:eastAsia="Times New Roman" w:hAnsi="Verdana" w:cs="Times New Roman"/>
          <w:lang w:eastAsia="nl-BE"/>
        </w:rPr>
        <w:t>.</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3. De categorieën van persoonsgegevens die kunnen worden verwerkt met toepassing van paragraaf 1 zijn:</w:t>
      </w:r>
      <w:r w:rsidRPr="007B46EF">
        <w:rPr>
          <w:rFonts w:ascii="Verdana" w:eastAsia="Times New Roman" w:hAnsi="Verdana" w:cs="Times New Roman"/>
          <w:lang w:eastAsia="nl-BE"/>
        </w:rPr>
        <w:br/>
        <w:t>1° persoonlijke identificatiegegevens, waaronder contactgegevens;</w:t>
      </w:r>
      <w:r w:rsidRPr="007B46EF">
        <w:rPr>
          <w:rFonts w:ascii="Verdana" w:eastAsia="Times New Roman" w:hAnsi="Verdana" w:cs="Times New Roman"/>
          <w:lang w:eastAsia="nl-BE"/>
        </w:rPr>
        <w:br/>
        <w:t>2° rijksregisternummer;</w:t>
      </w:r>
      <w:r w:rsidRPr="007B46EF">
        <w:rPr>
          <w:rFonts w:ascii="Verdana" w:eastAsia="Times New Roman" w:hAnsi="Verdana" w:cs="Times New Roman"/>
          <w:lang w:eastAsia="nl-BE"/>
        </w:rPr>
        <w:br/>
        <w:t>3° woningkenmerken;</w:t>
      </w:r>
      <w:r w:rsidRPr="007B46EF">
        <w:rPr>
          <w:rFonts w:ascii="Verdana" w:eastAsia="Times New Roman" w:hAnsi="Verdana" w:cs="Times New Roman"/>
          <w:lang w:eastAsia="nl-BE"/>
        </w:rPr>
        <w:br/>
        <w:t>4° strafrechtelijke gegevens;</w:t>
      </w:r>
      <w:r w:rsidRPr="007B46EF">
        <w:rPr>
          <w:rFonts w:ascii="Verdana" w:eastAsia="Times New Roman" w:hAnsi="Verdana" w:cs="Times New Roman"/>
          <w:lang w:eastAsia="nl-BE"/>
        </w:rPr>
        <w:br/>
        <w:t>5° gegevens inzake bestuurlijke vervolging en sanctionering.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Vlaamse Regering kan de categorieën van persoonsgegevens, vermeld in het eerste lid, nader omschrijven.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4. Voor de verwerking van persoonsgegevens met toepassing van paragraaf 1 geldt een bewaartermijn:</w:t>
      </w:r>
      <w:r w:rsidRPr="007B46EF">
        <w:rPr>
          <w:rFonts w:ascii="Verdana" w:eastAsia="Times New Roman" w:hAnsi="Verdana" w:cs="Times New Roman"/>
          <w:lang w:eastAsia="nl-BE"/>
        </w:rPr>
        <w:br/>
        <w:t>1° van 10 jaar na het afsluiten van een administratief dossier als vermeld in deel 2 tot en met 8 van dit boek;</w:t>
      </w:r>
      <w:r w:rsidRPr="007B46EF">
        <w:rPr>
          <w:rFonts w:ascii="Verdana" w:eastAsia="Times New Roman" w:hAnsi="Verdana" w:cs="Times New Roman"/>
          <w:lang w:eastAsia="nl-BE"/>
        </w:rPr>
        <w:br/>
        <w:t>2° van 30 jaar na het afsluiten van een strafrechtelijk dossier als vermeld in deel 9 van dit boek;</w:t>
      </w:r>
      <w:r w:rsidRPr="007B46EF">
        <w:rPr>
          <w:rFonts w:ascii="Verdana" w:eastAsia="Times New Roman" w:hAnsi="Verdana" w:cs="Times New Roman"/>
          <w:lang w:eastAsia="nl-BE"/>
        </w:rPr>
        <w:br/>
        <w:t>3° zoals bepaald in het Kaderdecreet betreffende de bestuurlijke handhaving van 22 maart 2019 voor wat betreft de bestuurlijke vervolging en beboeting.</w:t>
      </w:r>
      <w:r w:rsidRPr="007B46EF">
        <w:rPr>
          <w:rFonts w:ascii="Verdana" w:eastAsia="Times New Roman" w:hAnsi="Verdana" w:cs="Times New Roman"/>
          <w:lang w:eastAsia="nl-BE"/>
        </w:rPr>
        <w:br/>
      </w:r>
      <w:r w:rsidRPr="007B46EF">
        <w:rPr>
          <w:rFonts w:ascii="Verdana" w:eastAsia="Times New Roman" w:hAnsi="Verdana" w:cs="Times New Roman"/>
          <w:lang w:eastAsia="nl-BE"/>
        </w:rPr>
        <w:br/>
        <w:t>Binnen een jaar na het verstrijken van de termijn, vermeld in het eerste lid, worden persoonsgegevens in digitale vorm definitief gewist en papieren documenten die persoonsgegevens bevatten vernietigd.</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5. De betrokkenen bij de verwerking van persoonsgegevens met toepassing van paragraaf 1 zijn:</w:t>
      </w:r>
      <w:r w:rsidRPr="007B46EF">
        <w:rPr>
          <w:rFonts w:ascii="Verdana" w:eastAsia="Times New Roman" w:hAnsi="Verdana" w:cs="Times New Roman"/>
          <w:lang w:eastAsia="nl-BE"/>
        </w:rPr>
        <w:br/>
        <w:t>1° de houder van het zakelijk recht op de woning;</w:t>
      </w:r>
      <w:r w:rsidRPr="007B46EF">
        <w:rPr>
          <w:rFonts w:ascii="Verdana" w:eastAsia="Times New Roman" w:hAnsi="Verdana" w:cs="Times New Roman"/>
          <w:lang w:eastAsia="nl-BE"/>
        </w:rPr>
        <w:br/>
        <w:t>2° de huurder;</w:t>
      </w:r>
      <w:r w:rsidRPr="007B46EF">
        <w:rPr>
          <w:rFonts w:ascii="Verdana" w:eastAsia="Times New Roman" w:hAnsi="Verdana" w:cs="Times New Roman"/>
          <w:lang w:eastAsia="nl-BE"/>
        </w:rPr>
        <w:br/>
        <w:t>3° de verhuurder;</w:t>
      </w:r>
      <w:r w:rsidRPr="007B46EF">
        <w:rPr>
          <w:rFonts w:ascii="Verdana" w:eastAsia="Times New Roman" w:hAnsi="Verdana" w:cs="Times New Roman"/>
          <w:lang w:eastAsia="nl-BE"/>
        </w:rPr>
        <w:br/>
        <w:t>4° de bewoner;</w:t>
      </w:r>
      <w:r w:rsidRPr="007B46EF">
        <w:rPr>
          <w:rFonts w:ascii="Verdana" w:eastAsia="Times New Roman" w:hAnsi="Verdana" w:cs="Times New Roman"/>
          <w:lang w:eastAsia="nl-BE"/>
        </w:rPr>
        <w:br/>
        <w:t>5° de personen die betrokken zijn bij het misdrijf, vermeld in boek 3, deel 9, titel 1;</w:t>
      </w:r>
      <w:r w:rsidRPr="007B46EF">
        <w:rPr>
          <w:rFonts w:ascii="Verdana" w:eastAsia="Times New Roman" w:hAnsi="Verdana" w:cs="Times New Roman"/>
          <w:lang w:eastAsia="nl-BE"/>
        </w:rPr>
        <w:br/>
        <w:t>6° de contactpersonen die zichzelf als dusdanig kenbaar gemaakt hebben.</w:t>
      </w:r>
    </w:p>
    <w:p w14:paraId="17BE8022"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t xml:space="preserve">Artikel 3.57. (20/09/2021- ...) </w:t>
      </w:r>
    </w:p>
    <w:p w14:paraId="001981BC" w14:textId="77777777" w:rsidR="007B46EF" w:rsidRPr="007B46EF" w:rsidRDefault="007B46EF" w:rsidP="007B46EF">
      <w:pPr>
        <w:spacing w:before="100" w:beforeAutospacing="1" w:after="100" w:afterAutospacing="1" w:line="240" w:lineRule="auto"/>
        <w:rPr>
          <w:rFonts w:ascii="Verdana" w:eastAsia="Times New Roman" w:hAnsi="Verdana" w:cs="Times New Roman"/>
          <w:lang w:eastAsia="nl-BE"/>
        </w:rPr>
      </w:pPr>
      <w:r w:rsidRPr="007B46EF">
        <w:rPr>
          <w:rFonts w:ascii="Verdana" w:eastAsia="Times New Roman" w:hAnsi="Verdana" w:cs="Times New Roman"/>
          <w:lang w:eastAsia="nl-BE"/>
        </w:rPr>
        <w:lastRenderedPageBreak/>
        <w:t>§ 1. Voor woningen die in de inventaris zijn opgenomen of waarvoor een niet vervallen conformiteitsattest als vermeld in artikel 3.6 is afgegeven, kan het agentschap dat door de Vlaamse Regering belast is met de uitvoering van het woonbeleid, de volgende gegevens digitaal of op een andere wijze publiek ter beschikking stellen:</w:t>
      </w:r>
      <w:r w:rsidRPr="007B46EF">
        <w:rPr>
          <w:rFonts w:ascii="Verdana" w:eastAsia="Times New Roman" w:hAnsi="Verdana" w:cs="Times New Roman"/>
          <w:lang w:eastAsia="nl-BE"/>
        </w:rPr>
        <w:br/>
        <w:t>1° de identificatiegegevens van die woningen met uitsluiting van identiteitsgegevens van personen;</w:t>
      </w:r>
      <w:r w:rsidRPr="007B46EF">
        <w:rPr>
          <w:rFonts w:ascii="Verdana" w:eastAsia="Times New Roman" w:hAnsi="Verdana" w:cs="Times New Roman"/>
          <w:lang w:eastAsia="nl-BE"/>
        </w:rPr>
        <w:br/>
        <w:t>2° informatie over het bestaan van een niet vervallen conformiteitsattest;</w:t>
      </w:r>
      <w:r w:rsidRPr="007B46EF">
        <w:rPr>
          <w:rFonts w:ascii="Verdana" w:eastAsia="Times New Roman" w:hAnsi="Verdana" w:cs="Times New Roman"/>
          <w:lang w:eastAsia="nl-BE"/>
        </w:rPr>
        <w:br/>
        <w:t>3° informatie over het bestaan van een actueel besluit om een woning ongeschikt of onbewoonbaar te verklaren.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De publicatie, vermeld in het eerste lid, kan gebeuren ten behoeve van alle geïnteresseerde of belanghebbende natuurlijke personen, rechtspersonen, organisaties, overheidsinstanties, diensten of andere organen, zowel voor commercieel als niet commercieel gebruik. Het agentschap kan hiervoor een beroep doen op een publieke of private dienstverlener. In dat geval is het agentschap verwerkingsverantwoordelijke voor de overdracht van de gegevens en is de dienstverlener verwerkingsverantwoordelijke voor het bijhouden en publiceren ervan.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2. Voor de woningen, vermeld in paragraaf 1, kunnen, naast de verwerkingen, vermeld in de procedures opgenomen in boek 3, ook de besluiten van de burgemeester of de minister om een woning ongeschikt of onbewoonbaar te verklaren, de resultaten van de technische vaststellingen, vermeld in artikel 3.3, en een afschrift van een afgegeven conformiteitsattest door het agentschap dat door de Vlaamse Regering belast is met de uitvoering van het woonbeleid, ter beschikking gesteld worden van de Koninklijke Federatie van het Belgisch Notariaat, de Vlaamse Maatschappij voor Sociaal Wonen en de Confederatie van Immobiliënberoepen Vlaanderen, voor zover dat noodzakelijk is voor de vervulling van hun maatschappelijke opdracht of voor de naleving van hun wettelijke verplichtingen of die van hun leden. In dat geval is het agentschap verwerkingsverantwoordelijke voor de overdracht van de gegevens en zijn de ontvangende organisaties verwerkingsverantwoordelijke voor de verdere verwerking ervan.</w:t>
      </w:r>
      <w:r w:rsidRPr="007B46EF">
        <w:rPr>
          <w:rFonts w:ascii="Verdana" w:eastAsia="Times New Roman" w:hAnsi="Verdana" w:cs="Times New Roman"/>
          <w:lang w:eastAsia="nl-BE"/>
        </w:rPr>
        <w:br/>
      </w:r>
      <w:r w:rsidRPr="007B46EF">
        <w:rPr>
          <w:rFonts w:ascii="Verdana" w:eastAsia="Times New Roman" w:hAnsi="Verdana" w:cs="Times New Roman"/>
          <w:lang w:eastAsia="nl-BE"/>
        </w:rPr>
        <w:br/>
        <w:t>§ 3. Voor de woningen, vermeld in paragraaf 1, kunnen de resultaten van de recentste technische vaststellingen, vermeld in artikel 3.3, door steden en gemeenten of door het agentschap dat door de Vlaamse Regering belast wordt met de uitvoering van het woonbeleid, die als verwerkingsverantwoordelijke optreden, ter beschikking gesteld worden van de houder van het zakelijk recht die niet betrokken was bij de procedure die tot de inventarisatie of tot afgifte van een conformiteitsattest heeft geleid.</w:t>
      </w:r>
    </w:p>
    <w:p w14:paraId="19785FEB" w14:textId="77777777" w:rsidR="00686C1D" w:rsidRDefault="00686C1D"/>
    <w:sectPr w:rsidR="00686C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6EF"/>
    <w:rsid w:val="00686C1D"/>
    <w:rsid w:val="006A74E8"/>
    <w:rsid w:val="007B46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67320"/>
  <w15:chartTrackingRefBased/>
  <w15:docId w15:val="{54AA24B3-3AE4-48C1-8411-E13DCBD6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633050">
      <w:bodyDiv w:val="1"/>
      <w:marLeft w:val="0"/>
      <w:marRight w:val="0"/>
      <w:marTop w:val="0"/>
      <w:marBottom w:val="0"/>
      <w:divBdr>
        <w:top w:val="none" w:sz="0" w:space="0" w:color="auto"/>
        <w:left w:val="none" w:sz="0" w:space="0" w:color="auto"/>
        <w:bottom w:val="none" w:sz="0" w:space="0" w:color="auto"/>
        <w:right w:val="none" w:sz="0" w:space="0" w:color="auto"/>
      </w:divBdr>
      <w:divsChild>
        <w:div w:id="422264621">
          <w:marLeft w:val="0"/>
          <w:marRight w:val="0"/>
          <w:marTop w:val="0"/>
          <w:marBottom w:val="0"/>
          <w:divBdr>
            <w:top w:val="none" w:sz="0" w:space="0" w:color="auto"/>
            <w:left w:val="none" w:sz="0" w:space="0" w:color="auto"/>
            <w:bottom w:val="none" w:sz="0" w:space="0" w:color="auto"/>
            <w:right w:val="none" w:sz="0" w:space="0" w:color="auto"/>
          </w:divBdr>
        </w:div>
        <w:div w:id="563486861">
          <w:marLeft w:val="0"/>
          <w:marRight w:val="0"/>
          <w:marTop w:val="0"/>
          <w:marBottom w:val="0"/>
          <w:divBdr>
            <w:top w:val="none" w:sz="0" w:space="0" w:color="auto"/>
            <w:left w:val="none" w:sz="0" w:space="0" w:color="auto"/>
            <w:bottom w:val="none" w:sz="0" w:space="0" w:color="auto"/>
            <w:right w:val="none" w:sz="0" w:space="0" w:color="auto"/>
          </w:divBdr>
        </w:div>
        <w:div w:id="1379553256">
          <w:marLeft w:val="0"/>
          <w:marRight w:val="0"/>
          <w:marTop w:val="0"/>
          <w:marBottom w:val="0"/>
          <w:divBdr>
            <w:top w:val="none" w:sz="0" w:space="0" w:color="auto"/>
            <w:left w:val="none" w:sz="0" w:space="0" w:color="auto"/>
            <w:bottom w:val="none" w:sz="0" w:space="0" w:color="auto"/>
            <w:right w:val="none" w:sz="0" w:space="0" w:color="auto"/>
          </w:divBdr>
        </w:div>
        <w:div w:id="407044326">
          <w:marLeft w:val="0"/>
          <w:marRight w:val="0"/>
          <w:marTop w:val="0"/>
          <w:marBottom w:val="0"/>
          <w:divBdr>
            <w:top w:val="none" w:sz="0" w:space="0" w:color="auto"/>
            <w:left w:val="none" w:sz="0" w:space="0" w:color="auto"/>
            <w:bottom w:val="none" w:sz="0" w:space="0" w:color="auto"/>
            <w:right w:val="none" w:sz="0" w:space="0" w:color="auto"/>
          </w:divBdr>
        </w:div>
        <w:div w:id="855534577">
          <w:marLeft w:val="0"/>
          <w:marRight w:val="0"/>
          <w:marTop w:val="0"/>
          <w:marBottom w:val="0"/>
          <w:divBdr>
            <w:top w:val="none" w:sz="0" w:space="0" w:color="auto"/>
            <w:left w:val="none" w:sz="0" w:space="0" w:color="auto"/>
            <w:bottom w:val="none" w:sz="0" w:space="0" w:color="auto"/>
            <w:right w:val="none" w:sz="0" w:space="0" w:color="auto"/>
          </w:divBdr>
        </w:div>
        <w:div w:id="1100370514">
          <w:marLeft w:val="0"/>
          <w:marRight w:val="0"/>
          <w:marTop w:val="0"/>
          <w:marBottom w:val="0"/>
          <w:divBdr>
            <w:top w:val="none" w:sz="0" w:space="0" w:color="auto"/>
            <w:left w:val="none" w:sz="0" w:space="0" w:color="auto"/>
            <w:bottom w:val="none" w:sz="0" w:space="0" w:color="auto"/>
            <w:right w:val="none" w:sz="0" w:space="0" w:color="auto"/>
          </w:divBdr>
        </w:div>
        <w:div w:id="1446345789">
          <w:marLeft w:val="0"/>
          <w:marRight w:val="0"/>
          <w:marTop w:val="0"/>
          <w:marBottom w:val="0"/>
          <w:divBdr>
            <w:top w:val="none" w:sz="0" w:space="0" w:color="auto"/>
            <w:left w:val="none" w:sz="0" w:space="0" w:color="auto"/>
            <w:bottom w:val="none" w:sz="0" w:space="0" w:color="auto"/>
            <w:right w:val="none" w:sz="0" w:space="0" w:color="auto"/>
          </w:divBdr>
        </w:div>
        <w:div w:id="1168324407">
          <w:marLeft w:val="0"/>
          <w:marRight w:val="0"/>
          <w:marTop w:val="0"/>
          <w:marBottom w:val="0"/>
          <w:divBdr>
            <w:top w:val="none" w:sz="0" w:space="0" w:color="auto"/>
            <w:left w:val="none" w:sz="0" w:space="0" w:color="auto"/>
            <w:bottom w:val="none" w:sz="0" w:space="0" w:color="auto"/>
            <w:right w:val="none" w:sz="0" w:space="0" w:color="auto"/>
          </w:divBdr>
        </w:div>
        <w:div w:id="1993100599">
          <w:marLeft w:val="0"/>
          <w:marRight w:val="0"/>
          <w:marTop w:val="0"/>
          <w:marBottom w:val="0"/>
          <w:divBdr>
            <w:top w:val="none" w:sz="0" w:space="0" w:color="auto"/>
            <w:left w:val="none" w:sz="0" w:space="0" w:color="auto"/>
            <w:bottom w:val="none" w:sz="0" w:space="0" w:color="auto"/>
            <w:right w:val="none" w:sz="0" w:space="0" w:color="auto"/>
          </w:divBdr>
        </w:div>
        <w:div w:id="392193411">
          <w:marLeft w:val="0"/>
          <w:marRight w:val="0"/>
          <w:marTop w:val="0"/>
          <w:marBottom w:val="0"/>
          <w:divBdr>
            <w:top w:val="none" w:sz="0" w:space="0" w:color="auto"/>
            <w:left w:val="none" w:sz="0" w:space="0" w:color="auto"/>
            <w:bottom w:val="none" w:sz="0" w:space="0" w:color="auto"/>
            <w:right w:val="none" w:sz="0" w:space="0" w:color="auto"/>
          </w:divBdr>
        </w:div>
        <w:div w:id="238682911">
          <w:marLeft w:val="0"/>
          <w:marRight w:val="0"/>
          <w:marTop w:val="0"/>
          <w:marBottom w:val="0"/>
          <w:divBdr>
            <w:top w:val="none" w:sz="0" w:space="0" w:color="auto"/>
            <w:left w:val="none" w:sz="0" w:space="0" w:color="auto"/>
            <w:bottom w:val="none" w:sz="0" w:space="0" w:color="auto"/>
            <w:right w:val="none" w:sz="0" w:space="0" w:color="auto"/>
          </w:divBdr>
        </w:div>
        <w:div w:id="1037395070">
          <w:marLeft w:val="0"/>
          <w:marRight w:val="0"/>
          <w:marTop w:val="0"/>
          <w:marBottom w:val="0"/>
          <w:divBdr>
            <w:top w:val="none" w:sz="0" w:space="0" w:color="auto"/>
            <w:left w:val="none" w:sz="0" w:space="0" w:color="auto"/>
            <w:bottom w:val="none" w:sz="0" w:space="0" w:color="auto"/>
            <w:right w:val="none" w:sz="0" w:space="0" w:color="auto"/>
          </w:divBdr>
        </w:div>
        <w:div w:id="922180668">
          <w:marLeft w:val="0"/>
          <w:marRight w:val="0"/>
          <w:marTop w:val="0"/>
          <w:marBottom w:val="0"/>
          <w:divBdr>
            <w:top w:val="none" w:sz="0" w:space="0" w:color="auto"/>
            <w:left w:val="none" w:sz="0" w:space="0" w:color="auto"/>
            <w:bottom w:val="none" w:sz="0" w:space="0" w:color="auto"/>
            <w:right w:val="none" w:sz="0" w:space="0" w:color="auto"/>
          </w:divBdr>
        </w:div>
        <w:div w:id="1218668848">
          <w:marLeft w:val="0"/>
          <w:marRight w:val="0"/>
          <w:marTop w:val="0"/>
          <w:marBottom w:val="0"/>
          <w:divBdr>
            <w:top w:val="none" w:sz="0" w:space="0" w:color="auto"/>
            <w:left w:val="none" w:sz="0" w:space="0" w:color="auto"/>
            <w:bottom w:val="none" w:sz="0" w:space="0" w:color="auto"/>
            <w:right w:val="none" w:sz="0" w:space="0" w:color="auto"/>
          </w:divBdr>
        </w:div>
        <w:div w:id="2092582248">
          <w:marLeft w:val="0"/>
          <w:marRight w:val="0"/>
          <w:marTop w:val="0"/>
          <w:marBottom w:val="0"/>
          <w:divBdr>
            <w:top w:val="none" w:sz="0" w:space="0" w:color="auto"/>
            <w:left w:val="none" w:sz="0" w:space="0" w:color="auto"/>
            <w:bottom w:val="none" w:sz="0" w:space="0" w:color="auto"/>
            <w:right w:val="none" w:sz="0" w:space="0" w:color="auto"/>
          </w:divBdr>
        </w:div>
        <w:div w:id="1592160924">
          <w:marLeft w:val="0"/>
          <w:marRight w:val="0"/>
          <w:marTop w:val="0"/>
          <w:marBottom w:val="0"/>
          <w:divBdr>
            <w:top w:val="none" w:sz="0" w:space="0" w:color="auto"/>
            <w:left w:val="none" w:sz="0" w:space="0" w:color="auto"/>
            <w:bottom w:val="none" w:sz="0" w:space="0" w:color="auto"/>
            <w:right w:val="none" w:sz="0" w:space="0" w:color="auto"/>
          </w:divBdr>
        </w:div>
        <w:div w:id="782387282">
          <w:marLeft w:val="0"/>
          <w:marRight w:val="0"/>
          <w:marTop w:val="0"/>
          <w:marBottom w:val="0"/>
          <w:divBdr>
            <w:top w:val="none" w:sz="0" w:space="0" w:color="auto"/>
            <w:left w:val="none" w:sz="0" w:space="0" w:color="auto"/>
            <w:bottom w:val="none" w:sz="0" w:space="0" w:color="auto"/>
            <w:right w:val="none" w:sz="0" w:space="0" w:color="auto"/>
          </w:divBdr>
        </w:div>
        <w:div w:id="891385768">
          <w:marLeft w:val="0"/>
          <w:marRight w:val="0"/>
          <w:marTop w:val="0"/>
          <w:marBottom w:val="0"/>
          <w:divBdr>
            <w:top w:val="none" w:sz="0" w:space="0" w:color="auto"/>
            <w:left w:val="none" w:sz="0" w:space="0" w:color="auto"/>
            <w:bottom w:val="none" w:sz="0" w:space="0" w:color="auto"/>
            <w:right w:val="none" w:sz="0" w:space="0" w:color="auto"/>
          </w:divBdr>
        </w:div>
        <w:div w:id="1060401814">
          <w:marLeft w:val="0"/>
          <w:marRight w:val="0"/>
          <w:marTop w:val="0"/>
          <w:marBottom w:val="0"/>
          <w:divBdr>
            <w:top w:val="none" w:sz="0" w:space="0" w:color="auto"/>
            <w:left w:val="none" w:sz="0" w:space="0" w:color="auto"/>
            <w:bottom w:val="none" w:sz="0" w:space="0" w:color="auto"/>
            <w:right w:val="none" w:sz="0" w:space="0" w:color="auto"/>
          </w:divBdr>
        </w:div>
        <w:div w:id="1088430569">
          <w:marLeft w:val="0"/>
          <w:marRight w:val="0"/>
          <w:marTop w:val="0"/>
          <w:marBottom w:val="0"/>
          <w:divBdr>
            <w:top w:val="none" w:sz="0" w:space="0" w:color="auto"/>
            <w:left w:val="none" w:sz="0" w:space="0" w:color="auto"/>
            <w:bottom w:val="none" w:sz="0" w:space="0" w:color="auto"/>
            <w:right w:val="none" w:sz="0" w:space="0" w:color="auto"/>
          </w:divBdr>
        </w:div>
        <w:div w:id="1038361392">
          <w:marLeft w:val="0"/>
          <w:marRight w:val="0"/>
          <w:marTop w:val="0"/>
          <w:marBottom w:val="0"/>
          <w:divBdr>
            <w:top w:val="none" w:sz="0" w:space="0" w:color="auto"/>
            <w:left w:val="none" w:sz="0" w:space="0" w:color="auto"/>
            <w:bottom w:val="none" w:sz="0" w:space="0" w:color="auto"/>
            <w:right w:val="none" w:sz="0" w:space="0" w:color="auto"/>
          </w:divBdr>
        </w:div>
        <w:div w:id="1314871002">
          <w:marLeft w:val="0"/>
          <w:marRight w:val="0"/>
          <w:marTop w:val="0"/>
          <w:marBottom w:val="0"/>
          <w:divBdr>
            <w:top w:val="none" w:sz="0" w:space="0" w:color="auto"/>
            <w:left w:val="none" w:sz="0" w:space="0" w:color="auto"/>
            <w:bottom w:val="none" w:sz="0" w:space="0" w:color="auto"/>
            <w:right w:val="none" w:sz="0" w:space="0" w:color="auto"/>
          </w:divBdr>
        </w:div>
        <w:div w:id="1618215413">
          <w:marLeft w:val="0"/>
          <w:marRight w:val="0"/>
          <w:marTop w:val="0"/>
          <w:marBottom w:val="0"/>
          <w:divBdr>
            <w:top w:val="none" w:sz="0" w:space="0" w:color="auto"/>
            <w:left w:val="none" w:sz="0" w:space="0" w:color="auto"/>
            <w:bottom w:val="none" w:sz="0" w:space="0" w:color="auto"/>
            <w:right w:val="none" w:sz="0" w:space="0" w:color="auto"/>
          </w:divBdr>
        </w:div>
        <w:div w:id="69734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19495-5938-462E-BA4E-81A01C19E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10944</Words>
  <Characters>60197</Characters>
  <Application>Microsoft Office Word</Application>
  <DocSecurity>0</DocSecurity>
  <Lines>501</Lines>
  <Paragraphs>141</Paragraphs>
  <ScaleCrop>false</ScaleCrop>
  <Company/>
  <LinksUpToDate>false</LinksUpToDate>
  <CharactersWithSpaces>71000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Bohez</dc:creator>
  <cp:keywords/>
  <dc:description/>
  <cp:lastModifiedBy>Sylvie Bohez</cp:lastModifiedBy>
  <cp:revision>2</cp:revision>
  <cp:lastPrinted>2022-09-20T16:06:00Z</cp:lastPrinted>
  <dcterms:created xsi:type="dcterms:W3CDTF">2022-09-20T16:01:00Z</dcterms:created>
  <dcterms:modified xsi:type="dcterms:W3CDTF">2022-09-20T16:06:00Z</dcterms:modified>
</cp:coreProperties>
</file>